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jc w:val="left"/>
        <w:rPr>
          <w:rFonts w:ascii="仿宋_GB2312" w:hAnsi="宋体" w:eastAsia="仿宋_GB2312" w:cs="宋体"/>
          <w:kern w:val="0"/>
          <w:sz w:val="36"/>
          <w:szCs w:val="24"/>
          <w:lang w:val="zh-CN" w:eastAsia="zh-CN" w:bidi="zh-CN"/>
        </w:rPr>
      </w:pPr>
    </w:p>
    <w:p>
      <w:pPr>
        <w:widowControl w:val="0"/>
        <w:autoSpaceDE w:val="0"/>
        <w:autoSpaceDN w:val="0"/>
        <w:jc w:val="center"/>
        <w:rPr>
          <w:rFonts w:ascii="仿宋_GB2312" w:hAnsi="宋体" w:eastAsia="仿宋_GB2312" w:cs="宋体"/>
          <w:kern w:val="0"/>
          <w:sz w:val="24"/>
          <w:szCs w:val="20"/>
          <w:lang w:val="zh-CN" w:eastAsia="zh-CN" w:bidi="zh-CN"/>
        </w:rPr>
      </w:pPr>
      <w:r>
        <w:rPr>
          <w:rFonts w:hint="eastAsia" w:ascii="黑体" w:hAnsi="黑体" w:eastAsia="黑体" w:cs="黑体"/>
          <w:sz w:val="36"/>
          <w:szCs w:val="36"/>
        </w:rPr>
        <w:t>校内专业设置评议专家组意见表</w:t>
      </w:r>
    </w:p>
    <w:tbl>
      <w:tblPr>
        <w:tblStyle w:val="4"/>
        <w:tblW w:w="9573"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454"/>
        <w:gridCol w:w="3459"/>
        <w:gridCol w:w="26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1" w:hRule="atLeast"/>
        </w:trPr>
        <w:tc>
          <w:tcPr>
            <w:tcW w:w="6913" w:type="dxa"/>
            <w:gridSpan w:val="2"/>
          </w:tcPr>
          <w:p>
            <w:pPr>
              <w:widowControl w:val="0"/>
              <w:autoSpaceDE w:val="0"/>
              <w:autoSpaceDN w:val="0"/>
              <w:jc w:val="left"/>
              <w:rPr>
                <w:rFonts w:ascii="仿宋_GB2312" w:hAnsi="宋体" w:eastAsia="仿宋_GB2312" w:cs="宋体"/>
                <w:kern w:val="0"/>
                <w:sz w:val="24"/>
                <w:szCs w:val="20"/>
                <w:lang w:val="zh-CN" w:eastAsia="zh-CN" w:bidi="zh-CN"/>
              </w:rPr>
            </w:pPr>
          </w:p>
          <w:p>
            <w:pPr>
              <w:widowControl w:val="0"/>
              <w:autoSpaceDE w:val="0"/>
              <w:autoSpaceDN w:val="0"/>
              <w:spacing w:before="165"/>
              <w:jc w:val="center"/>
              <w:rPr>
                <w:rFonts w:ascii="仿宋_GB2312" w:hAnsi="宋体" w:eastAsia="仿宋_GB2312" w:cs="宋体"/>
                <w:kern w:val="0"/>
                <w:sz w:val="24"/>
                <w:szCs w:val="20"/>
                <w:lang w:val="zh-CN" w:eastAsia="zh-CN" w:bidi="zh-CN"/>
              </w:rPr>
            </w:pPr>
            <w:r>
              <w:rPr>
                <w:rFonts w:hint="eastAsia" w:ascii="仿宋_GB2312" w:hAnsi="宋体" w:eastAsia="仿宋_GB2312" w:cs="宋体"/>
                <w:kern w:val="0"/>
                <w:sz w:val="24"/>
                <w:szCs w:val="20"/>
                <w:lang w:val="zh-CN" w:eastAsia="zh-CN" w:bidi="zh-CN"/>
              </w:rPr>
              <w:t>总体判断拟开设专业是否可行</w:t>
            </w:r>
          </w:p>
        </w:tc>
        <w:tc>
          <w:tcPr>
            <w:tcW w:w="2660" w:type="dxa"/>
          </w:tcPr>
          <w:p>
            <w:pPr>
              <w:widowControl w:val="0"/>
              <w:autoSpaceDE w:val="0"/>
              <w:autoSpaceDN w:val="0"/>
              <w:jc w:val="left"/>
              <w:rPr>
                <w:rFonts w:ascii="仿宋_GB2312" w:hAnsi="宋体" w:eastAsia="仿宋_GB2312" w:cs="宋体"/>
                <w:kern w:val="0"/>
                <w:sz w:val="24"/>
                <w:szCs w:val="20"/>
                <w:lang w:val="zh-CN" w:eastAsia="zh-CN" w:bidi="zh-CN"/>
              </w:rPr>
            </w:pPr>
          </w:p>
          <w:p>
            <w:pPr>
              <w:widowControl w:val="0"/>
              <w:tabs>
                <w:tab w:val="left" w:pos="844"/>
              </w:tabs>
              <w:autoSpaceDE w:val="0"/>
              <w:autoSpaceDN w:val="0"/>
              <w:spacing w:before="148"/>
              <w:ind w:left="5"/>
              <w:jc w:val="center"/>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sym w:font="Wingdings 2" w:char="0052"/>
            </w:r>
            <w:r>
              <w:rPr>
                <w:rFonts w:hint="eastAsia" w:ascii="仿宋_GB2312" w:hAnsi="宋体" w:eastAsia="仿宋_GB2312" w:cs="宋体"/>
                <w:kern w:val="0"/>
                <w:sz w:val="24"/>
                <w:szCs w:val="20"/>
                <w:lang w:val="zh-CN" w:eastAsia="en-US" w:bidi="zh-CN"/>
              </w:rPr>
              <w:t>是</w:t>
            </w:r>
            <w:r>
              <w:rPr>
                <w:rFonts w:hint="eastAsia" w:ascii="仿宋_GB2312" w:hAnsi="宋体" w:eastAsia="仿宋_GB2312" w:cs="宋体"/>
                <w:kern w:val="0"/>
                <w:sz w:val="24"/>
                <w:szCs w:val="20"/>
                <w:lang w:val="zh-CN" w:eastAsia="en-US" w:bidi="zh-CN"/>
              </w:rPr>
              <w:tab/>
            </w:r>
            <w:r>
              <w:rPr>
                <w:rFonts w:hint="eastAsia" w:ascii="仿宋_GB2312" w:hAnsi="宋体" w:eastAsia="仿宋_GB2312" w:cs="宋体"/>
                <w:kern w:val="0"/>
                <w:sz w:val="24"/>
                <w:szCs w:val="20"/>
                <w:lang w:val="zh-CN" w:eastAsia="en-US" w:bidi="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9" w:hRule="atLeast"/>
        </w:trPr>
        <w:tc>
          <w:tcPr>
            <w:tcW w:w="9573" w:type="dxa"/>
            <w:gridSpan w:val="3"/>
          </w:tcPr>
          <w:p>
            <w:pPr>
              <w:widowControl w:val="0"/>
              <w:autoSpaceDE w:val="0"/>
              <w:autoSpaceDN w:val="0"/>
              <w:spacing w:before="112" w:line="360" w:lineRule="auto"/>
              <w:ind w:left="107"/>
              <w:jc w:val="left"/>
              <w:rPr>
                <w:rFonts w:hint="eastAsia"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理由：</w:t>
            </w:r>
          </w:p>
          <w:p>
            <w:pPr>
              <w:widowControl w:val="0"/>
              <w:autoSpaceDE w:val="0"/>
              <w:autoSpaceDN w:val="0"/>
              <w:spacing w:before="112" w:line="240" w:lineRule="auto"/>
              <w:ind w:left="107" w:firstLine="480" w:firstLineChars="200"/>
              <w:jc w:val="left"/>
              <w:rPr>
                <w:rFonts w:hint="eastAsia" w:ascii="仿宋_GB2312" w:hAnsi="宋体" w:eastAsia="仿宋_GB2312" w:cs="宋体"/>
                <w:kern w:val="0"/>
                <w:sz w:val="24"/>
                <w:szCs w:val="20"/>
                <w:lang w:val="zh-CN" w:eastAsia="en-US" w:bidi="zh-CN"/>
              </w:rPr>
            </w:pPr>
            <w:r>
              <w:rPr>
                <w:rFonts w:hint="default" w:ascii="仿宋_GB2312" w:hAnsi="宋体" w:eastAsia="仿宋_GB2312" w:cs="仿宋_GB2312"/>
                <w:kern w:val="0"/>
                <w:sz w:val="24"/>
                <w:szCs w:val="24"/>
                <w:lang w:val="en-US" w:eastAsia="zh-CN" w:bidi="ar"/>
              </w:rPr>
              <w:t>2023年8月24日，昆明理工大学津桥学院组织了校外专家组会议，</w:t>
            </w:r>
            <w:r>
              <w:rPr>
                <w:rFonts w:hint="eastAsia" w:ascii="仿宋_GB2312" w:hAnsi="宋体" w:eastAsia="仿宋_GB2312" w:cs="宋体"/>
                <w:kern w:val="0"/>
                <w:sz w:val="24"/>
                <w:szCs w:val="20"/>
                <w:lang w:val="zh-CN" w:eastAsia="en-US" w:bidi="zh-CN"/>
              </w:rPr>
              <w:t>对</w:t>
            </w:r>
            <w:r>
              <w:rPr>
                <w:rFonts w:hint="eastAsia" w:ascii="仿宋_GB2312" w:hAnsi="宋体" w:eastAsia="仿宋_GB2312" w:cs="宋体"/>
                <w:kern w:val="0"/>
                <w:sz w:val="24"/>
                <w:szCs w:val="20"/>
                <w:lang w:val="en-US" w:eastAsia="en-US" w:bidi="zh-CN"/>
              </w:rPr>
              <w:t>食品营养与健康</w:t>
            </w:r>
            <w:r>
              <w:rPr>
                <w:rFonts w:hint="eastAsia" w:ascii="仿宋_GB2312" w:hAnsi="宋体" w:eastAsia="仿宋_GB2312" w:cs="宋体"/>
                <w:kern w:val="0"/>
                <w:sz w:val="24"/>
                <w:szCs w:val="20"/>
                <w:lang w:val="zh-CN" w:eastAsia="en-US" w:bidi="zh-CN"/>
              </w:rPr>
              <w:t>专业申报材料进行了审议，形成如下意见:</w:t>
            </w:r>
          </w:p>
          <w:p>
            <w:pPr>
              <w:widowControl w:val="0"/>
              <w:autoSpaceDE w:val="0"/>
              <w:autoSpaceDN w:val="0"/>
              <w:spacing w:before="112" w:line="240" w:lineRule="auto"/>
              <w:ind w:firstLine="480" w:firstLineChars="200"/>
              <w:jc w:val="left"/>
              <w:rPr>
                <w:rFonts w:hint="eastAsia"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随着人民</w:t>
            </w:r>
            <w:r>
              <w:rPr>
                <w:rFonts w:hint="eastAsia" w:ascii="仿宋_GB2312" w:hAnsi="宋体" w:eastAsia="仿宋_GB2312" w:cs="宋体"/>
                <w:kern w:val="0"/>
                <w:sz w:val="24"/>
                <w:szCs w:val="20"/>
                <w:lang w:val="en-US" w:eastAsia="en-US" w:bidi="zh-CN"/>
              </w:rPr>
              <w:t>健</w:t>
            </w:r>
            <w:r>
              <w:rPr>
                <w:rFonts w:hint="eastAsia" w:ascii="仿宋_GB2312" w:hAnsi="宋体" w:eastAsia="仿宋_GB2312" w:cs="宋体"/>
                <w:kern w:val="0"/>
                <w:sz w:val="24"/>
                <w:szCs w:val="20"/>
                <w:lang w:val="zh-CN" w:eastAsia="en-US" w:bidi="zh-CN"/>
              </w:rPr>
              <w:t>康意识的增强，日益形成的健康消费观将对食品营养与健康提出新的要求，越来越多的人注重健康管理。食品营养与健康密切相关，我国居民营养健康状况明显改善，但仍面临膳食结构不合理、营养不足与过剩并存以及营养相关疾病多发等问题。目前我国对食品营养与健康方面的专业人才需求量大，学生具有广阔的就业空间和前景。2020年2月，教育部公布《2019年度普通高等学校本科专业备案和审批结果的通知》，正式批准设立食品营养与健康专业。食品营养与健康专业涉及食品营养、食品健康、食品卫生、食品加工等相关的理论和技术，属于食品科学与工程类的专业。</w:t>
            </w:r>
          </w:p>
          <w:p>
            <w:pPr>
              <w:widowControl w:val="0"/>
              <w:autoSpaceDE w:val="0"/>
              <w:autoSpaceDN w:val="0"/>
              <w:spacing w:before="112" w:line="240" w:lineRule="auto"/>
              <w:ind w:left="107" w:firstLine="480" w:firstLineChars="200"/>
              <w:jc w:val="left"/>
              <w:rPr>
                <w:rFonts w:hint="eastAsia"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昆明理工大学津桥学院是一所工科为主，经、管、文、法、理、教育多学科协调发展的全日制本科独立学院。学校2018年开设了食品质量与安全本科专业，能为新专业提供相关实验实训设备</w:t>
            </w:r>
            <w:r>
              <w:rPr>
                <w:rFonts w:hint="eastAsia" w:ascii="仿宋_GB2312" w:hAnsi="宋体" w:eastAsia="仿宋_GB2312" w:cs="宋体"/>
                <w:kern w:val="0"/>
                <w:sz w:val="24"/>
                <w:szCs w:val="20"/>
                <w:lang w:val="en-US" w:eastAsia="en-US" w:bidi="zh-CN"/>
              </w:rPr>
              <w:t>及相关的师资。</w:t>
            </w:r>
            <w:r>
              <w:rPr>
                <w:rFonts w:hint="eastAsia" w:ascii="仿宋_GB2312" w:hAnsi="宋体" w:eastAsia="仿宋_GB2312" w:cs="宋体"/>
                <w:kern w:val="0"/>
                <w:sz w:val="24"/>
                <w:szCs w:val="20"/>
                <w:lang w:val="zh-CN" w:eastAsia="en-US" w:bidi="zh-CN"/>
              </w:rPr>
              <w:t>此外，与康旅集团合作</w:t>
            </w:r>
            <w:r>
              <w:rPr>
                <w:rFonts w:hint="eastAsia" w:ascii="仿宋_GB2312" w:hAnsi="宋体" w:eastAsia="仿宋_GB2312" w:cs="宋体"/>
                <w:kern w:val="0"/>
                <w:sz w:val="24"/>
                <w:szCs w:val="20"/>
                <w:lang w:val="en-US" w:eastAsia="en-US" w:bidi="zh-CN"/>
              </w:rPr>
              <w:t>办学</w:t>
            </w:r>
            <w:r>
              <w:rPr>
                <w:rFonts w:hint="eastAsia" w:ascii="仿宋_GB2312" w:hAnsi="宋体" w:eastAsia="仿宋_GB2312" w:cs="宋体"/>
                <w:kern w:val="0"/>
                <w:sz w:val="24"/>
                <w:szCs w:val="20"/>
                <w:lang w:val="zh-CN" w:eastAsia="en-US" w:bidi="zh-CN"/>
              </w:rPr>
              <w:t>，能够为本专业学生提供广阔的实践平台，为食品营养与健康专业的设置奠定了良好的办学基础。</w:t>
            </w:r>
          </w:p>
          <w:p>
            <w:pPr>
              <w:widowControl w:val="0"/>
              <w:autoSpaceDE w:val="0"/>
              <w:autoSpaceDN w:val="0"/>
              <w:spacing w:before="112" w:line="240" w:lineRule="auto"/>
              <w:ind w:left="107" w:firstLine="480" w:firstLineChars="200"/>
              <w:jc w:val="left"/>
              <w:rPr>
                <w:rFonts w:hint="eastAsia"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综上所述，该校在教师队伍、教学条件和经费保障等方面，符合普通高等学校本科专业教学质量国家标准开办食品营养与健康专业的条件。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0" w:hRule="atLeast"/>
        </w:trPr>
        <w:tc>
          <w:tcPr>
            <w:tcW w:w="6913" w:type="dxa"/>
            <w:gridSpan w:val="2"/>
          </w:tcPr>
          <w:p>
            <w:pPr>
              <w:widowControl w:val="0"/>
              <w:autoSpaceDE w:val="0"/>
              <w:autoSpaceDN w:val="0"/>
              <w:spacing w:before="3"/>
              <w:jc w:val="left"/>
              <w:rPr>
                <w:rFonts w:ascii="仿宋_GB2312" w:hAnsi="宋体" w:eastAsia="仿宋_GB2312" w:cs="宋体"/>
                <w:kern w:val="0"/>
                <w:sz w:val="21"/>
                <w:szCs w:val="20"/>
                <w:lang w:val="zh-CN" w:eastAsia="zh-CN" w:bidi="zh-CN"/>
              </w:rPr>
            </w:pPr>
          </w:p>
          <w:p>
            <w:pPr>
              <w:widowControl w:val="0"/>
              <w:autoSpaceDE w:val="0"/>
              <w:autoSpaceDN w:val="0"/>
              <w:ind w:left="1535"/>
              <w:jc w:val="left"/>
              <w:rPr>
                <w:rFonts w:ascii="仿宋_GB2312" w:hAnsi="宋体" w:eastAsia="仿宋_GB2312" w:cs="宋体"/>
                <w:kern w:val="0"/>
                <w:sz w:val="24"/>
                <w:szCs w:val="20"/>
                <w:lang w:val="zh-CN" w:eastAsia="zh-CN" w:bidi="zh-CN"/>
              </w:rPr>
            </w:pPr>
            <w:r>
              <w:rPr>
                <w:rFonts w:hint="eastAsia" w:ascii="仿宋_GB2312" w:hAnsi="宋体" w:eastAsia="仿宋_GB2312" w:cs="宋体"/>
                <w:kern w:val="0"/>
                <w:sz w:val="24"/>
                <w:szCs w:val="20"/>
                <w:lang w:val="zh-CN" w:eastAsia="zh-CN" w:bidi="zh-CN"/>
              </w:rPr>
              <w:t>拟招生人数与人才需求预测是否匹配</w:t>
            </w:r>
          </w:p>
        </w:tc>
        <w:tc>
          <w:tcPr>
            <w:tcW w:w="2660" w:type="dxa"/>
          </w:tcPr>
          <w:p>
            <w:pPr>
              <w:widowControl w:val="0"/>
              <w:autoSpaceDE w:val="0"/>
              <w:autoSpaceDN w:val="0"/>
              <w:spacing w:before="3"/>
              <w:jc w:val="left"/>
              <w:rPr>
                <w:rFonts w:ascii="仿宋_GB2312" w:hAnsi="宋体" w:eastAsia="仿宋_GB2312" w:cs="宋体"/>
                <w:kern w:val="0"/>
                <w:sz w:val="21"/>
                <w:szCs w:val="20"/>
                <w:lang w:val="zh-CN" w:eastAsia="zh-CN" w:bidi="zh-CN"/>
              </w:rPr>
            </w:pPr>
          </w:p>
          <w:p>
            <w:pPr>
              <w:widowControl w:val="0"/>
              <w:tabs>
                <w:tab w:val="left" w:pos="844"/>
              </w:tabs>
              <w:autoSpaceDE w:val="0"/>
              <w:autoSpaceDN w:val="0"/>
              <w:ind w:left="5"/>
              <w:jc w:val="center"/>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sym w:font="Wingdings 2" w:char="0052"/>
            </w:r>
            <w:r>
              <w:rPr>
                <w:rFonts w:hint="eastAsia" w:ascii="仿宋_GB2312" w:hAnsi="宋体" w:eastAsia="仿宋_GB2312" w:cs="宋体"/>
                <w:kern w:val="0"/>
                <w:sz w:val="24"/>
                <w:szCs w:val="20"/>
                <w:lang w:val="zh-CN" w:eastAsia="en-US" w:bidi="zh-CN"/>
              </w:rPr>
              <w:t>是</w:t>
            </w:r>
            <w:r>
              <w:rPr>
                <w:rFonts w:hint="eastAsia" w:ascii="仿宋_GB2312" w:hAnsi="宋体" w:eastAsia="仿宋_GB2312" w:cs="宋体"/>
                <w:kern w:val="0"/>
                <w:sz w:val="24"/>
                <w:szCs w:val="20"/>
                <w:lang w:val="zh-CN" w:eastAsia="en-US" w:bidi="zh-CN"/>
              </w:rPr>
              <w:tab/>
            </w:r>
            <w:r>
              <w:rPr>
                <w:rFonts w:hint="eastAsia" w:ascii="仿宋_GB2312" w:hAnsi="宋体" w:eastAsia="仿宋_GB2312" w:cs="宋体"/>
                <w:kern w:val="0"/>
                <w:sz w:val="24"/>
                <w:szCs w:val="20"/>
                <w:lang w:val="zh-CN" w:eastAsia="en-US" w:bidi="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restart"/>
          </w:tcPr>
          <w:p>
            <w:pPr>
              <w:widowControl w:val="0"/>
              <w:autoSpaceDE w:val="0"/>
              <w:autoSpaceDN w:val="0"/>
              <w:spacing w:before="9"/>
              <w:jc w:val="left"/>
              <w:rPr>
                <w:rFonts w:ascii="仿宋_GB2312" w:hAnsi="宋体" w:eastAsia="仿宋_GB2312" w:cs="宋体"/>
                <w:kern w:val="0"/>
                <w:sz w:val="29"/>
                <w:szCs w:val="20"/>
                <w:lang w:val="zh-CN" w:eastAsia="zh-CN" w:bidi="zh-CN"/>
              </w:rPr>
            </w:pPr>
          </w:p>
          <w:p>
            <w:pPr>
              <w:widowControl w:val="0"/>
              <w:autoSpaceDE w:val="0"/>
              <w:autoSpaceDN w:val="0"/>
              <w:spacing w:line="345" w:lineRule="auto"/>
              <w:ind w:left="525" w:right="276" w:hanging="240"/>
              <w:jc w:val="left"/>
              <w:rPr>
                <w:rFonts w:ascii="仿宋_GB2312" w:hAnsi="宋体" w:eastAsia="仿宋_GB2312" w:cs="宋体"/>
                <w:kern w:val="0"/>
                <w:sz w:val="24"/>
                <w:szCs w:val="20"/>
                <w:lang w:val="zh-CN" w:eastAsia="zh-CN" w:bidi="zh-CN"/>
              </w:rPr>
            </w:pPr>
            <w:r>
              <w:rPr>
                <w:rFonts w:hint="eastAsia" w:ascii="仿宋_GB2312" w:hAnsi="宋体" w:eastAsia="仿宋_GB2312" w:cs="宋体"/>
                <w:kern w:val="0"/>
                <w:sz w:val="24"/>
                <w:szCs w:val="20"/>
                <w:lang w:val="zh-CN" w:eastAsia="zh-CN" w:bidi="zh-CN"/>
              </w:rPr>
              <w:t>本专业开设的基本条件是否符合教学质量国家标准</w:t>
            </w:r>
          </w:p>
        </w:tc>
        <w:tc>
          <w:tcPr>
            <w:tcW w:w="3459" w:type="dxa"/>
          </w:tcPr>
          <w:p>
            <w:pPr>
              <w:widowControl w:val="0"/>
              <w:autoSpaceDE w:val="0"/>
              <w:autoSpaceDN w:val="0"/>
              <w:spacing w:before="112"/>
              <w:ind w:left="1247"/>
              <w:jc w:val="left"/>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教师队伍</w:t>
            </w:r>
          </w:p>
        </w:tc>
        <w:tc>
          <w:tcPr>
            <w:tcW w:w="2660" w:type="dxa"/>
          </w:tcPr>
          <w:p>
            <w:pPr>
              <w:widowControl w:val="0"/>
              <w:tabs>
                <w:tab w:val="left" w:pos="844"/>
              </w:tabs>
              <w:autoSpaceDE w:val="0"/>
              <w:autoSpaceDN w:val="0"/>
              <w:spacing w:before="112"/>
              <w:ind w:left="5"/>
              <w:jc w:val="center"/>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sym w:font="Wingdings 2" w:char="0052"/>
            </w:r>
            <w:r>
              <w:rPr>
                <w:rFonts w:hint="eastAsia" w:ascii="仿宋_GB2312" w:hAnsi="宋体" w:eastAsia="仿宋_GB2312" w:cs="宋体"/>
                <w:kern w:val="0"/>
                <w:sz w:val="24"/>
                <w:szCs w:val="20"/>
                <w:lang w:val="zh-CN" w:eastAsia="en-US" w:bidi="zh-CN"/>
              </w:rPr>
              <w:t>是</w:t>
            </w:r>
            <w:r>
              <w:rPr>
                <w:rFonts w:hint="eastAsia" w:ascii="仿宋_GB2312" w:hAnsi="宋体" w:eastAsia="仿宋_GB2312" w:cs="宋体"/>
                <w:kern w:val="0"/>
                <w:sz w:val="24"/>
                <w:szCs w:val="20"/>
                <w:lang w:val="zh-CN" w:eastAsia="en-US" w:bidi="zh-CN"/>
              </w:rPr>
              <w:tab/>
            </w:r>
            <w:r>
              <w:rPr>
                <w:rFonts w:hint="eastAsia" w:ascii="仿宋_GB2312" w:hAnsi="宋体" w:eastAsia="仿宋_GB2312" w:cs="宋体"/>
                <w:kern w:val="0"/>
                <w:sz w:val="24"/>
                <w:szCs w:val="20"/>
                <w:lang w:val="zh-CN" w:eastAsia="en-US" w:bidi="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trPr>
        <w:tc>
          <w:tcPr>
            <w:tcW w:w="3454" w:type="dxa"/>
            <w:vMerge w:val="continue"/>
            <w:tcBorders>
              <w:top w:val="nil"/>
            </w:tcBorders>
          </w:tcPr>
          <w:p>
            <w:pPr>
              <w:autoSpaceDE w:val="0"/>
              <w:autoSpaceDN w:val="0"/>
              <w:rPr>
                <w:rFonts w:ascii="仿宋_GB2312" w:hAnsi="等线" w:eastAsia="仿宋_GB2312" w:cs="Times New Roman"/>
                <w:kern w:val="0"/>
                <w:sz w:val="2"/>
                <w:szCs w:val="2"/>
                <w:lang w:eastAsia="en-US"/>
              </w:rPr>
            </w:pPr>
          </w:p>
        </w:tc>
        <w:tc>
          <w:tcPr>
            <w:tcW w:w="3459" w:type="dxa"/>
          </w:tcPr>
          <w:p>
            <w:pPr>
              <w:widowControl w:val="0"/>
              <w:autoSpaceDE w:val="0"/>
              <w:autoSpaceDN w:val="0"/>
              <w:spacing w:before="112" w:line="306" w:lineRule="exact"/>
              <w:ind w:left="1247"/>
              <w:jc w:val="left"/>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实践条件</w:t>
            </w:r>
          </w:p>
        </w:tc>
        <w:tc>
          <w:tcPr>
            <w:tcW w:w="2660" w:type="dxa"/>
          </w:tcPr>
          <w:p>
            <w:pPr>
              <w:widowControl w:val="0"/>
              <w:tabs>
                <w:tab w:val="left" w:pos="844"/>
              </w:tabs>
              <w:autoSpaceDE w:val="0"/>
              <w:autoSpaceDN w:val="0"/>
              <w:spacing w:before="112" w:line="306" w:lineRule="exact"/>
              <w:ind w:left="5"/>
              <w:jc w:val="center"/>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sym w:font="Wingdings 2" w:char="0052"/>
            </w:r>
            <w:r>
              <w:rPr>
                <w:rFonts w:hint="eastAsia" w:ascii="仿宋_GB2312" w:hAnsi="宋体" w:eastAsia="仿宋_GB2312" w:cs="宋体"/>
                <w:kern w:val="0"/>
                <w:sz w:val="24"/>
                <w:szCs w:val="20"/>
                <w:lang w:val="zh-CN" w:eastAsia="en-US" w:bidi="zh-CN"/>
              </w:rPr>
              <w:t>是</w:t>
            </w:r>
            <w:r>
              <w:rPr>
                <w:rFonts w:hint="eastAsia" w:ascii="仿宋_GB2312" w:hAnsi="宋体" w:eastAsia="仿宋_GB2312" w:cs="宋体"/>
                <w:kern w:val="0"/>
                <w:sz w:val="24"/>
                <w:szCs w:val="20"/>
                <w:lang w:val="zh-CN" w:eastAsia="en-US" w:bidi="zh-CN"/>
              </w:rPr>
              <w:tab/>
            </w:r>
            <w:r>
              <w:rPr>
                <w:rFonts w:hint="eastAsia" w:ascii="仿宋_GB2312" w:hAnsi="宋体" w:eastAsia="仿宋_GB2312" w:cs="宋体"/>
                <w:kern w:val="0"/>
                <w:sz w:val="24"/>
                <w:szCs w:val="20"/>
                <w:lang w:val="zh-CN" w:eastAsia="en-US" w:bidi="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trPr>
        <w:tc>
          <w:tcPr>
            <w:tcW w:w="3454" w:type="dxa"/>
            <w:vMerge w:val="continue"/>
            <w:tcBorders>
              <w:top w:val="nil"/>
            </w:tcBorders>
          </w:tcPr>
          <w:p>
            <w:pPr>
              <w:autoSpaceDE w:val="0"/>
              <w:autoSpaceDN w:val="0"/>
              <w:rPr>
                <w:rFonts w:ascii="仿宋_GB2312" w:hAnsi="等线" w:eastAsia="仿宋_GB2312" w:cs="Times New Roman"/>
                <w:kern w:val="0"/>
                <w:sz w:val="2"/>
                <w:szCs w:val="2"/>
                <w:lang w:eastAsia="en-US"/>
              </w:rPr>
            </w:pPr>
          </w:p>
        </w:tc>
        <w:tc>
          <w:tcPr>
            <w:tcW w:w="3459" w:type="dxa"/>
          </w:tcPr>
          <w:p>
            <w:pPr>
              <w:widowControl w:val="0"/>
              <w:autoSpaceDE w:val="0"/>
              <w:autoSpaceDN w:val="0"/>
              <w:spacing w:before="113"/>
              <w:ind w:left="1247"/>
              <w:jc w:val="left"/>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t>经费保障</w:t>
            </w:r>
          </w:p>
        </w:tc>
        <w:tc>
          <w:tcPr>
            <w:tcW w:w="2660" w:type="dxa"/>
          </w:tcPr>
          <w:p>
            <w:pPr>
              <w:widowControl w:val="0"/>
              <w:tabs>
                <w:tab w:val="left" w:pos="844"/>
              </w:tabs>
              <w:autoSpaceDE w:val="0"/>
              <w:autoSpaceDN w:val="0"/>
              <w:spacing w:before="113"/>
              <w:ind w:left="5"/>
              <w:jc w:val="center"/>
              <w:rPr>
                <w:rFonts w:ascii="仿宋_GB2312" w:hAnsi="宋体" w:eastAsia="仿宋_GB2312" w:cs="宋体"/>
                <w:kern w:val="0"/>
                <w:sz w:val="24"/>
                <w:szCs w:val="20"/>
                <w:lang w:val="zh-CN" w:eastAsia="en-US" w:bidi="zh-CN"/>
              </w:rPr>
            </w:pPr>
            <w:r>
              <w:rPr>
                <w:rFonts w:hint="eastAsia" w:ascii="仿宋_GB2312" w:hAnsi="宋体" w:eastAsia="仿宋_GB2312" w:cs="宋体"/>
                <w:kern w:val="0"/>
                <w:sz w:val="24"/>
                <w:szCs w:val="20"/>
                <w:lang w:val="zh-CN" w:eastAsia="en-US" w:bidi="zh-CN"/>
              </w:rPr>
              <w:sym w:font="Wingdings 2" w:char="0052"/>
            </w:r>
            <w:r>
              <w:rPr>
                <w:rFonts w:hint="eastAsia" w:ascii="仿宋_GB2312" w:hAnsi="宋体" w:eastAsia="仿宋_GB2312" w:cs="宋体"/>
                <w:kern w:val="0"/>
                <w:sz w:val="24"/>
                <w:szCs w:val="20"/>
                <w:lang w:val="zh-CN" w:eastAsia="en-US" w:bidi="zh-CN"/>
              </w:rPr>
              <w:t>是</w:t>
            </w:r>
            <w:r>
              <w:rPr>
                <w:rFonts w:hint="eastAsia" w:ascii="仿宋_GB2312" w:hAnsi="宋体" w:eastAsia="仿宋_GB2312" w:cs="宋体"/>
                <w:kern w:val="0"/>
                <w:sz w:val="24"/>
                <w:szCs w:val="20"/>
                <w:lang w:val="zh-CN" w:eastAsia="en-US" w:bidi="zh-CN"/>
              </w:rPr>
              <w:tab/>
            </w:r>
            <w:r>
              <w:rPr>
                <w:rFonts w:hint="eastAsia" w:ascii="仿宋_GB2312" w:hAnsi="宋体" w:eastAsia="仿宋_GB2312" w:cs="宋体"/>
                <w:kern w:val="0"/>
                <w:sz w:val="24"/>
                <w:szCs w:val="20"/>
                <w:lang w:val="zh-CN" w:eastAsia="en-US" w:bidi="zh-CN"/>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9573" w:type="dxa"/>
            <w:gridSpan w:val="3"/>
          </w:tcPr>
          <w:p>
            <w:pPr>
              <w:keepNext w:val="0"/>
              <w:keepLines w:val="0"/>
              <w:widowControl w:val="0"/>
              <w:suppressLineNumbers w:val="0"/>
              <w:spacing w:before="0" w:beforeAutospacing="0" w:after="0" w:afterAutospacing="0"/>
              <w:ind w:left="0" w:right="0"/>
              <w:jc w:val="left"/>
              <w:rPr>
                <w:rFonts w:ascii="仿宋_GB2312" w:hAnsi="宋体" w:eastAsia="仿宋_GB2312" w:cs="宋体"/>
                <w:b/>
                <w:kern w:val="0"/>
                <w:sz w:val="24"/>
                <w:szCs w:val="20"/>
                <w:lang w:val="zh-CN" w:eastAsia="en-US" w:bidi="zh-CN"/>
              </w:rPr>
            </w:pPr>
            <w:r>
              <w:rPr>
                <w:rFonts w:hint="eastAsia" w:ascii="仿宋_GB2312" w:hAnsi="宋体" w:eastAsia="仿宋_GB2312" w:cs="宋体"/>
                <w:b/>
                <w:kern w:val="0"/>
                <w:sz w:val="24"/>
                <w:szCs w:val="20"/>
                <w:lang w:val="zh-CN" w:eastAsia="en-US" w:bidi="zh-CN"/>
              </w:rPr>
              <w:t>专家签字：</w:t>
            </w:r>
            <w:r>
              <w:rPr>
                <w:rFonts w:hint="default" w:ascii="Calibri" w:hAnsi="Calibri" w:eastAsia="宋体" w:cs="Times New Roman"/>
                <w:kern w:val="2"/>
                <w:sz w:val="21"/>
                <w:szCs w:val="21"/>
                <w:lang w:val="en-US" w:eastAsia="zh-CN" w:bidi="ar"/>
              </w:rPr>
              <w:drawing>
                <wp:inline distT="0" distB="0" distL="114300" distR="114300">
                  <wp:extent cx="1152525" cy="476250"/>
                  <wp:effectExtent l="0" t="0" r="3175" b="6350"/>
                  <wp:docPr id="9"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IMG_256"/>
                          <pic:cNvPicPr>
                            <a:picLocks noChangeAspect="1"/>
                          </pic:cNvPicPr>
                        </pic:nvPicPr>
                        <pic:blipFill>
                          <a:blip r:embed="rId4"/>
                          <a:stretch>
                            <a:fillRect/>
                          </a:stretch>
                        </pic:blipFill>
                        <pic:spPr>
                          <a:xfrm>
                            <a:off x="0" y="0"/>
                            <a:ext cx="1152525" cy="47625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800100" cy="481965"/>
                  <wp:effectExtent l="0" t="0" r="0" b="635"/>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5"/>
                          <a:stretch>
                            <a:fillRect/>
                          </a:stretch>
                        </pic:blipFill>
                        <pic:spPr>
                          <a:xfrm>
                            <a:off x="0" y="0"/>
                            <a:ext cx="800100" cy="481965"/>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1000125" cy="485775"/>
                  <wp:effectExtent l="0" t="0" r="3175" b="9525"/>
                  <wp:docPr id="5"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IMG_258"/>
                          <pic:cNvPicPr>
                            <a:picLocks noChangeAspect="1"/>
                          </pic:cNvPicPr>
                        </pic:nvPicPr>
                        <pic:blipFill>
                          <a:blip r:embed="rId6"/>
                          <a:stretch>
                            <a:fillRect/>
                          </a:stretch>
                        </pic:blipFill>
                        <pic:spPr>
                          <a:xfrm>
                            <a:off x="0" y="0"/>
                            <a:ext cx="1000125" cy="485775"/>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1019175" cy="495300"/>
                  <wp:effectExtent l="0" t="0" r="9525" b="0"/>
                  <wp:docPr id="10"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9"/>
                          <pic:cNvPicPr>
                            <a:picLocks noChangeAspect="1"/>
                          </pic:cNvPicPr>
                        </pic:nvPicPr>
                        <pic:blipFill>
                          <a:blip r:embed="rId7"/>
                          <a:stretch>
                            <a:fillRect/>
                          </a:stretch>
                        </pic:blipFill>
                        <pic:spPr>
                          <a:xfrm>
                            <a:off x="0" y="0"/>
                            <a:ext cx="1019175" cy="49530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1076325" cy="447040"/>
                  <wp:effectExtent l="0" t="0" r="3175" b="10160"/>
                  <wp:docPr id="4"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60"/>
                          <pic:cNvPicPr>
                            <a:picLocks noChangeAspect="1"/>
                          </pic:cNvPicPr>
                        </pic:nvPicPr>
                        <pic:blipFill>
                          <a:blip r:embed="rId8"/>
                          <a:stretch>
                            <a:fillRect/>
                          </a:stretch>
                        </pic:blipFill>
                        <pic:spPr>
                          <a:xfrm>
                            <a:off x="0" y="0"/>
                            <a:ext cx="1076325" cy="44704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965200" cy="457200"/>
                  <wp:effectExtent l="0" t="0" r="0"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r:embed="rId9"/>
                          <a:srcRect l="9619" t="15733" r="18000" b="34800"/>
                          <a:stretch>
                            <a:fillRect/>
                          </a:stretch>
                        </pic:blipFill>
                        <pic:spPr>
                          <a:xfrm>
                            <a:off x="0" y="0"/>
                            <a:ext cx="965200" cy="45720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857250" cy="381000"/>
                  <wp:effectExtent l="0" t="0" r="635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10"/>
                          <a:stretch>
                            <a:fillRect/>
                          </a:stretch>
                        </pic:blipFill>
                        <pic:spPr>
                          <a:xfrm>
                            <a:off x="0" y="0"/>
                            <a:ext cx="857250" cy="38100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552450" cy="419100"/>
                  <wp:effectExtent l="0" t="0" r="6350" b="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r:embed="rId11"/>
                          <a:stretch>
                            <a:fillRect/>
                          </a:stretch>
                        </pic:blipFill>
                        <pic:spPr>
                          <a:xfrm>
                            <a:off x="0" y="0"/>
                            <a:ext cx="552450" cy="41910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590550" cy="438150"/>
                  <wp:effectExtent l="0" t="0" r="6350" b="6350"/>
                  <wp:docPr id="1"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IMG_264"/>
                          <pic:cNvPicPr>
                            <a:picLocks noChangeAspect="1"/>
                          </pic:cNvPicPr>
                        </pic:nvPicPr>
                        <pic:blipFill>
                          <a:blip r:embed="rId12"/>
                          <a:stretch>
                            <a:fillRect/>
                          </a:stretch>
                        </pic:blipFill>
                        <pic:spPr>
                          <a:xfrm>
                            <a:off x="0" y="0"/>
                            <a:ext cx="590550" cy="438150"/>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781050" cy="428625"/>
                  <wp:effectExtent l="0" t="0" r="6350" b="3175"/>
                  <wp:docPr id="2"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IMG_265"/>
                          <pic:cNvPicPr>
                            <a:picLocks noChangeAspect="1"/>
                          </pic:cNvPicPr>
                        </pic:nvPicPr>
                        <pic:blipFill>
                          <a:blip r:embed="rId13"/>
                          <a:stretch>
                            <a:fillRect/>
                          </a:stretch>
                        </pic:blipFill>
                        <pic:spPr>
                          <a:xfrm>
                            <a:off x="0" y="0"/>
                            <a:ext cx="781050" cy="428625"/>
                          </a:xfrm>
                          <a:prstGeom prst="rect">
                            <a:avLst/>
                          </a:prstGeom>
                          <a:noFill/>
                          <a:ln w="9525">
                            <a:noFill/>
                          </a:ln>
                        </pic:spPr>
                      </pic:pic>
                    </a:graphicData>
                  </a:graphic>
                </wp:inline>
              </w:drawing>
            </w:r>
            <w:r>
              <w:rPr>
                <w:rFonts w:hint="default" w:ascii="Calibri" w:hAnsi="Calibri" w:eastAsia="宋体" w:cs="Times New Roman"/>
                <w:kern w:val="2"/>
                <w:sz w:val="21"/>
                <w:szCs w:val="21"/>
                <w:lang w:val="en-US" w:eastAsia="zh-CN" w:bidi="ar"/>
              </w:rPr>
              <w:drawing>
                <wp:inline distT="0" distB="0" distL="114300" distR="114300">
                  <wp:extent cx="742950" cy="361950"/>
                  <wp:effectExtent l="0" t="0" r="6350" b="6350"/>
                  <wp:docPr id="11"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IMG_266"/>
                          <pic:cNvPicPr>
                            <a:picLocks noChangeAspect="1"/>
                          </pic:cNvPicPr>
                        </pic:nvPicPr>
                        <pic:blipFill>
                          <a:blip r:embed="rId14"/>
                          <a:stretch>
                            <a:fillRect/>
                          </a:stretch>
                        </pic:blipFill>
                        <pic:spPr>
                          <a:xfrm>
                            <a:off x="0" y="0"/>
                            <a:ext cx="742950" cy="361950"/>
                          </a:xfrm>
                          <a:prstGeom prst="rect">
                            <a:avLst/>
                          </a:prstGeom>
                          <a:noFill/>
                          <a:ln w="9525">
                            <a:noFill/>
                          </a:ln>
                        </pic:spPr>
                      </pic:pic>
                    </a:graphicData>
                  </a:graphic>
                </wp:inline>
              </w:drawing>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OGJhZDVlZjlkY2E2YTM3ZGNiYTU1YmRmODQwNTQifQ=="/>
  </w:docVars>
  <w:rsids>
    <w:rsidRoot w:val="43410D7F"/>
    <w:rsid w:val="2D480265"/>
    <w:rsid w:val="2E755089"/>
    <w:rsid w:val="43410D7F"/>
    <w:rsid w:val="4CA46E0E"/>
    <w:rsid w:val="4D0E072B"/>
    <w:rsid w:val="559519EA"/>
    <w:rsid w:val="59AA2E1F"/>
    <w:rsid w:val="5F1E47FD"/>
    <w:rsid w:val="6530528B"/>
    <w:rsid w:val="653140DC"/>
    <w:rsid w:val="6E217E67"/>
    <w:rsid w:val="73351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623</Words>
  <Characters>636</Characters>
  <Lines>1</Lines>
  <Paragraphs>1</Paragraphs>
  <TotalTime>1</TotalTime>
  <ScaleCrop>false</ScaleCrop>
  <LinksUpToDate>false</LinksUpToDate>
  <CharactersWithSpaces>641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2023-08-24T08:53:00Z</dcterms:created>
  <dc:creator>heartbeats</dc:creator>
  <cp:lastModifiedBy>heartbeats</cp:lastModifiedBy>
  <dcterms:modified xsi:type="dcterms:W3CDTF">2023-08-25T05:52:10Z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BF1120702279421C93CB8344BFBFB37E_11</vt:lpwstr>
  </property>
</Properties>
</file>