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 xml:space="preserve">学校名称（盖章）：昆明理工大学津桥学院 </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专业名称：食品营养与健康</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 082710T</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所属学科门类及专业类：食品科学与工程类</w:t>
      </w:r>
    </w:p>
    <w:p>
      <w:pPr>
        <w:spacing w:line="720" w:lineRule="exact"/>
        <w:ind w:firstLine="1439" w:firstLineChars="371"/>
        <w:rPr>
          <w:rFonts w:hint="eastAsia" w:ascii="Arial" w:hAnsi="Arial" w:eastAsia="楷体_GB2312"/>
          <w:spacing w:val="14"/>
          <w:sz w:val="36"/>
          <w:lang w:val="en-US" w:eastAsia="zh-CN"/>
        </w:rPr>
      </w:pPr>
      <w:r>
        <w:rPr>
          <w:rFonts w:hint="eastAsia" w:ascii="Arial" w:hAnsi="Arial" w:eastAsia="楷体_GB2312"/>
          <w:spacing w:val="14"/>
          <w:sz w:val="36"/>
        </w:rPr>
        <w:t>学位授予门类：</w:t>
      </w:r>
      <w:r>
        <w:rPr>
          <w:rFonts w:hint="eastAsia" w:ascii="Arial" w:hAnsi="Arial" w:eastAsia="楷体_GB2312"/>
          <w:spacing w:val="14"/>
          <w:sz w:val="36"/>
          <w:lang w:val="en-US" w:eastAsia="zh-CN"/>
        </w:rPr>
        <w:t>工学</w:t>
      </w:r>
    </w:p>
    <w:p>
      <w:pPr>
        <w:spacing w:line="720" w:lineRule="exact"/>
        <w:ind w:firstLine="1439" w:firstLineChars="371"/>
        <w:rPr>
          <w:rFonts w:hint="default" w:ascii="Arial" w:hAnsi="Arial" w:eastAsia="楷体_GB2312"/>
          <w:spacing w:val="14"/>
          <w:sz w:val="36"/>
          <w:lang w:val="en-US" w:eastAsia="zh-CN"/>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四年</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ascii="Arial" w:hAnsi="Arial" w:eastAsia="楷体_GB2312"/>
          <w:sz w:val="36"/>
        </w:rPr>
        <w:t xml:space="preserve"> </w:t>
      </w:r>
      <w:r>
        <w:rPr>
          <w:rFonts w:hint="eastAsia" w:ascii="Arial" w:hAnsi="Arial" w:eastAsia="楷体_GB2312"/>
          <w:sz w:val="36"/>
        </w:rPr>
        <w:t>2023-04-06</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6"/>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02"/>
        <w:gridCol w:w="1819"/>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0" w:hRule="atLeas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专业代码</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rPr>
              <w:t>082710T</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专业名称</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lang w:val="en-US"/>
              </w:rPr>
              <w:t>食品营养与健康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修业年限</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四年</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学位授予门类</w:t>
            </w:r>
          </w:p>
        </w:tc>
        <w:tc>
          <w:tcPr>
            <w:tcW w:w="2064"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学校开始举办本科教育的年份</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2001年</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现有本科专业（个）</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color w:val="auto"/>
                <w:sz w:val="24"/>
              </w:rPr>
            </w:pPr>
            <w:r>
              <w:rPr>
                <w:rFonts w:hint="default" w:ascii="Times New Roman" w:hAnsi="Times New Roman" w:eastAsia="仿宋_GB2312"/>
                <w:color w:val="auto"/>
                <w:sz w:val="24"/>
              </w:rPr>
              <w:t>学校本年度其他</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color w:val="auto"/>
                <w:sz w:val="24"/>
              </w:rPr>
              <w:t>拟增设的专业名称</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lang w:val="en-US" w:eastAsia="zh-CN"/>
              </w:rPr>
              <w:t>生物技术；</w:t>
            </w:r>
            <w:r>
              <w:rPr>
                <w:rFonts w:hint="default" w:ascii="Times New Roman" w:hAnsi="Times New Roman" w:eastAsia="仿宋_GB2312"/>
                <w:sz w:val="24"/>
              </w:rPr>
              <w:t>运动康复；旅游管理与服务教育</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本校已设的相近本、专科专业及开设年份</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default" w:ascii="Times New Roman" w:hAnsi="Times New Roman" w:eastAsia="仿宋_GB2312"/>
                <w:sz w:val="24"/>
                <w:lang w:val="en-US" w:eastAsia="zh-CN"/>
              </w:rPr>
              <w:t>食品质量与安全</w:t>
            </w:r>
            <w:r>
              <w:rPr>
                <w:rFonts w:hint="eastAsia" w:eastAsia="仿宋_GB2312"/>
                <w:sz w:val="24"/>
                <w:lang w:val="en-US" w:eastAsia="zh-CN"/>
              </w:rPr>
              <w:t xml:space="preserve"> 2018年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拟首次招生时间</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及招生数</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2024年8月；100人</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auto"/>
                <w:sz w:val="24"/>
              </w:rPr>
            </w:pPr>
            <w:r>
              <w:rPr>
                <w:rFonts w:hint="default" w:ascii="Times New Roman" w:hAnsi="Times New Roman" w:eastAsia="仿宋_GB2312"/>
                <w:color w:val="auto"/>
                <w:sz w:val="24"/>
              </w:rPr>
              <w:t>五年内计划</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color w:val="auto"/>
                <w:sz w:val="24"/>
              </w:rPr>
              <w:t>发展规模</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师范专业标识</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（师范S、兼有J）</w:t>
            </w:r>
          </w:p>
        </w:tc>
        <w:tc>
          <w:tcPr>
            <w:tcW w:w="181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所在院系名称</w:t>
            </w:r>
          </w:p>
        </w:tc>
        <w:tc>
          <w:tcPr>
            <w:tcW w:w="2064"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rPr>
            </w:pPr>
            <w:r>
              <w:rPr>
                <w:rFonts w:hint="eastAsia" w:ascii="Times New Roman" w:hAnsi="Times New Roman" w:eastAsia="仿宋_GB2312"/>
                <w:sz w:val="24"/>
              </w:rPr>
              <w:t>康旅现代产业</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8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高等学校专业设置评议专家组织审议意见</w:t>
            </w:r>
          </w:p>
        </w:tc>
        <w:tc>
          <w:tcPr>
            <w:tcW w:w="1819" w:type="dxa"/>
            <w:vAlign w:val="center"/>
          </w:tcPr>
          <w:p>
            <w:pPr>
              <w:keepNext w:val="0"/>
              <w:keepLines w:val="0"/>
              <w:suppressLineNumbers w:val="0"/>
              <w:spacing w:before="0" w:beforeAutospacing="0" w:after="0" w:afterAutospacing="0"/>
              <w:ind w:left="0" w:right="0" w:firstLine="720" w:firstLineChars="3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both"/>
              <w:rPr>
                <w:rFonts w:hint="default" w:ascii="Times New Roman" w:hAnsi="Times New Roman" w:eastAsia="仿宋_GB2312"/>
                <w:sz w:val="24"/>
              </w:rPr>
            </w:pPr>
            <w:r>
              <w:rPr>
                <w:rFonts w:hint="default" w:ascii="Times New Roman" w:hAnsi="Times New Roman" w:eastAsia="仿宋_GB2312"/>
                <w:sz w:val="24"/>
              </w:rPr>
              <w:t>（主任签字）</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学校审批意见（校长签字）</w:t>
            </w:r>
          </w:p>
        </w:tc>
        <w:tc>
          <w:tcPr>
            <w:tcW w:w="2064"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80" w:firstLineChars="200"/>
              <w:jc w:val="both"/>
              <w:rPr>
                <w:rFonts w:hint="default" w:ascii="Times New Roman" w:hAnsi="Times New Roman" w:eastAsia="仿宋_GB2312"/>
                <w:sz w:val="24"/>
              </w:rPr>
            </w:pPr>
            <w:r>
              <w:rPr>
                <w:rFonts w:hint="default" w:ascii="Times New Roman" w:hAnsi="Times New Roman" w:eastAsia="仿宋_GB2312"/>
                <w:sz w:val="24"/>
              </w:rPr>
              <w:t>（盖章）</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802"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sz w:val="24"/>
              </w:rPr>
            </w:pPr>
            <w:r>
              <w:rPr>
                <w:rFonts w:hint="default" w:ascii="Times New Roman" w:hAnsi="Times New Roman" w:eastAsia="仿宋_GB2312"/>
                <w:sz w:val="24"/>
              </w:rPr>
              <w:t>高等学校主管部门形式</w:t>
            </w:r>
          </w:p>
          <w:p>
            <w:pPr>
              <w:keepNext w:val="0"/>
              <w:keepLines w:val="0"/>
              <w:suppressLineNumbers w:val="0"/>
              <w:spacing w:before="0" w:beforeAutospacing="0" w:after="0" w:afterAutospacing="0"/>
              <w:ind w:left="0" w:right="0"/>
              <w:jc w:val="left"/>
              <w:rPr>
                <w:rFonts w:hint="default" w:ascii="Times New Roman" w:hAnsi="Times New Roman" w:eastAsia="仿宋_GB2312"/>
                <w:sz w:val="24"/>
              </w:rPr>
            </w:pPr>
            <w:r>
              <w:rPr>
                <w:rFonts w:hint="default" w:ascii="Times New Roman" w:hAnsi="Times New Roman" w:eastAsia="仿宋_GB2312"/>
                <w:sz w:val="24"/>
              </w:rPr>
              <w:t>审核意见（根据是否具备该专业办学条件、申请</w:t>
            </w:r>
          </w:p>
          <w:p>
            <w:pPr>
              <w:keepNext w:val="0"/>
              <w:keepLines w:val="0"/>
              <w:suppressLineNumbers w:val="0"/>
              <w:spacing w:before="0" w:beforeAutospacing="0" w:after="0" w:afterAutospacing="0"/>
              <w:ind w:left="0" w:right="0"/>
              <w:jc w:val="left"/>
              <w:rPr>
                <w:rFonts w:hint="default" w:ascii="Times New Roman" w:hAnsi="Times New Roman" w:eastAsia="仿宋_GB2312"/>
                <w:sz w:val="24"/>
              </w:rPr>
            </w:pPr>
            <w:r>
              <w:rPr>
                <w:rFonts w:hint="default" w:ascii="Times New Roman" w:hAnsi="Times New Roman" w:eastAsia="仿宋_GB2312"/>
                <w:sz w:val="24"/>
              </w:rPr>
              <w:t>材料是否真实等给出是否同意备案的意见）</w:t>
            </w:r>
          </w:p>
        </w:tc>
        <w:tc>
          <w:tcPr>
            <w:tcW w:w="6316"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80" w:firstLineChars="2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320" w:firstLineChars="1800"/>
              <w:jc w:val="center"/>
              <w:rPr>
                <w:rFonts w:hint="default" w:ascii="Times New Roman" w:hAnsi="Times New Roman" w:eastAsia="仿宋_GB2312"/>
                <w:sz w:val="24"/>
              </w:rPr>
            </w:pPr>
            <w:r>
              <w:rPr>
                <w:rFonts w:hint="default" w:ascii="Times New Roman" w:hAnsi="Times New Roman" w:eastAsia="仿宋_GB2312"/>
                <w:sz w:val="24"/>
              </w:rPr>
              <w:t>（盖章）</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r>
    </w:tbl>
    <w:p>
      <w:pPr>
        <w:rPr>
          <w:rFonts w:eastAsia="仿宋_GB2312"/>
          <w:b/>
          <w:sz w:val="24"/>
        </w:rPr>
      </w:pP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p>
    <w:p>
      <w:pPr>
        <w:spacing w:line="360" w:lineRule="auto"/>
        <w:jc w:val="both"/>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6"/>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学校名称</w:t>
            </w:r>
          </w:p>
        </w:tc>
        <w:tc>
          <w:tcPr>
            <w:tcW w:w="202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eastAsia" w:ascii="Times New Roman" w:hAnsi="Times New Roman" w:eastAsia="仿宋_GB2312"/>
                <w:sz w:val="24"/>
              </w:rPr>
              <w:t>昆明理工大学津桥学院</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学校地址</w:t>
            </w:r>
          </w:p>
        </w:tc>
        <w:tc>
          <w:tcPr>
            <w:tcW w:w="4343"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高新校区：云南省昆明市五华区国家高新技术产业开发区海源北路1268号</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空港校区：云南省昆明市官渡区云桥街（云瑞路）1369号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邮政编码</w:t>
            </w:r>
          </w:p>
        </w:tc>
        <w:tc>
          <w:tcPr>
            <w:tcW w:w="202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cs="Times New Roman"/>
                <w:sz w:val="24"/>
                <w:szCs w:val="24"/>
                <w:lang w:val="en-US" w:eastAsia="en-US"/>
              </w:rPr>
              <w:t>650106</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校园网址</w:t>
            </w:r>
          </w:p>
        </w:tc>
        <w:tc>
          <w:tcPr>
            <w:tcW w:w="4343"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eastAsia" w:ascii="Times New Roman" w:hAnsi="Times New Roman" w:eastAsia="仿宋_GB2312"/>
                <w:sz w:val="24"/>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sz w:val="24"/>
              </w:rPr>
            </w:pPr>
            <w:r>
              <w:rPr>
                <w:rFonts w:hint="default" w:ascii="Times New Roman" w:hAnsi="Times New Roman" w:eastAsia="仿宋_GB2312"/>
                <w:sz w:val="24"/>
              </w:rPr>
              <w:t>学校办学</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基本类型</w:t>
            </w:r>
          </w:p>
        </w:tc>
        <w:tc>
          <w:tcPr>
            <w:tcW w:w="7930" w:type="dxa"/>
            <w:gridSpan w:val="6"/>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t xml:space="preserve">□部委院校  □地方院校  □公办  </w:t>
            </w:r>
            <w:r>
              <w:rPr>
                <w:rFonts w:hint="default" w:ascii="Times New Roman" w:hAnsi="Times New Roman" w:eastAsia="仿宋_GB2312"/>
                <w:sz w:val="24"/>
              </w:rPr>
              <w:sym w:font="Wingdings 2" w:char="0052"/>
            </w:r>
            <w:r>
              <w:rPr>
                <w:rFonts w:hint="default" w:ascii="Times New Roman" w:hAnsi="Times New Roman"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p>
        </w:tc>
        <w:tc>
          <w:tcPr>
            <w:tcW w:w="7930" w:type="dxa"/>
            <w:gridSpan w:val="6"/>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t xml:space="preserve">□大学    □学院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在校本科生总数</w:t>
            </w:r>
          </w:p>
        </w:tc>
        <w:tc>
          <w:tcPr>
            <w:tcW w:w="289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p>
        </w:tc>
        <w:tc>
          <w:tcPr>
            <w:tcW w:w="251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专业平均年招生规模</w:t>
            </w:r>
          </w:p>
        </w:tc>
        <w:tc>
          <w:tcPr>
            <w:tcW w:w="253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sz w:val="24"/>
              </w:rPr>
            </w:pPr>
            <w:r>
              <w:rPr>
                <w:rFonts w:hint="default" w:ascii="Times New Roman" w:hAnsi="Times New Roman" w:eastAsia="仿宋_GB2312"/>
                <w:sz w:val="24"/>
              </w:rPr>
              <w:t>已有专业</w:t>
            </w:r>
          </w:p>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sz w:val="24"/>
              </w:rPr>
            </w:pPr>
            <w:r>
              <w:rPr>
                <w:rFonts w:hint="default" w:ascii="Times New Roman" w:hAnsi="Times New Roman" w:eastAsia="仿宋_GB2312"/>
                <w:sz w:val="24"/>
              </w:rPr>
              <w:t>学科门类</w:t>
            </w:r>
          </w:p>
        </w:tc>
        <w:tc>
          <w:tcPr>
            <w:tcW w:w="7930" w:type="dxa"/>
            <w:gridSpan w:val="6"/>
            <w:vAlign w:val="center"/>
          </w:tcPr>
          <w:p>
            <w:pPr>
              <w:keepNext w:val="0"/>
              <w:keepLines w:val="0"/>
              <w:suppressLineNumbers w:val="0"/>
              <w:spacing w:before="0" w:beforeAutospacing="0" w:after="0" w:afterAutospacing="0"/>
              <w:ind w:left="0" w:right="0"/>
              <w:rPr>
                <w:rFonts w:hint="default" w:ascii="Times New Roman" w:hAnsi="Times New Roman" w:eastAsia="仿宋_GB2312"/>
                <w:sz w:val="24"/>
              </w:rPr>
            </w:pPr>
            <w:r>
              <w:rPr>
                <w:rFonts w:hint="default" w:ascii="Times New Roman" w:hAnsi="Times New Roman" w:eastAsia="仿宋_GB2312"/>
                <w:sz w:val="24"/>
              </w:rPr>
              <w:t xml:space="preserve">□哲学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经济学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法学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教育学   </w:t>
            </w:r>
            <w:r>
              <w:rPr>
                <w:rFonts w:hint="default" w:ascii="Times New Roman" w:hAnsi="Times New Roman" w:eastAsia="仿宋_GB2312"/>
                <w:sz w:val="24"/>
              </w:rPr>
              <w:sym w:font="Wingdings 2" w:char="0052"/>
            </w:r>
            <w:r>
              <w:rPr>
                <w:rFonts w:hint="default" w:ascii="Times New Roman" w:hAnsi="Times New Roman" w:eastAsia="仿宋_GB2312"/>
                <w:sz w:val="24"/>
              </w:rPr>
              <w:t>文学    □历史学</w:t>
            </w:r>
          </w:p>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理学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工学     □农学   □医学     </w:t>
            </w:r>
            <w:r>
              <w:rPr>
                <w:rFonts w:hint="default" w:ascii="Times New Roman" w:hAnsi="Times New Roman" w:eastAsia="仿宋_GB2312"/>
                <w:sz w:val="24"/>
              </w:rPr>
              <w:sym w:font="Wingdings 2" w:char="0052"/>
            </w:r>
            <w:r>
              <w:rPr>
                <w:rFonts w:hint="default" w:ascii="Times New Roman" w:hAnsi="Times New Roman"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sz w:val="24"/>
              </w:rPr>
            </w:pPr>
            <w:r>
              <w:rPr>
                <w:rFonts w:hint="default" w:ascii="Times New Roman" w:hAnsi="Times New Roman" w:eastAsia="仿宋_GB2312"/>
                <w:sz w:val="24"/>
              </w:rPr>
              <w:t>专任教师</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总数（人）</w:t>
            </w:r>
          </w:p>
        </w:tc>
        <w:tc>
          <w:tcPr>
            <w:tcW w:w="2890" w:type="dxa"/>
            <w:gridSpan w:val="2"/>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auto"/>
                <w:sz w:val="24"/>
              </w:rPr>
            </w:pPr>
            <w:r>
              <w:rPr>
                <w:rFonts w:hint="eastAsia" w:ascii="Times New Roman" w:hAnsi="Times New Roman" w:eastAsia="仿宋_GB2312"/>
                <w:color w:val="auto"/>
                <w:sz w:val="24"/>
                <w:szCs w:val="24"/>
                <w:lang w:eastAsia="en-US"/>
              </w:rPr>
              <w:t>458</w:t>
            </w:r>
          </w:p>
        </w:tc>
        <w:tc>
          <w:tcPr>
            <w:tcW w:w="2870" w:type="dxa"/>
            <w:gridSpan w:val="3"/>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auto"/>
                <w:sz w:val="24"/>
              </w:rPr>
            </w:pPr>
            <w:r>
              <w:rPr>
                <w:rFonts w:hint="default" w:ascii="Times New Roman" w:hAnsi="Times New Roman" w:eastAsia="仿宋_GB2312"/>
                <w:color w:val="auto"/>
                <w:sz w:val="24"/>
              </w:rPr>
              <w:t>专任教师中副教授及以上职称教师数及所占比例</w:t>
            </w:r>
          </w:p>
        </w:tc>
        <w:tc>
          <w:tcPr>
            <w:tcW w:w="2170"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auto"/>
                <w:sz w:val="24"/>
                <w:lang w:val="en-US" w:eastAsia="zh-CN"/>
              </w:rPr>
            </w:pPr>
            <w:r>
              <w:rPr>
                <w:rFonts w:hint="eastAsia" w:ascii="Times New Roman" w:hAnsi="Times New Roman" w:eastAsia="仿宋_GB2312"/>
                <w:color w:val="auto"/>
                <w:sz w:val="24"/>
                <w:szCs w:val="24"/>
                <w:lang w:eastAsia="en-US"/>
              </w:rPr>
              <w:t>205</w:t>
            </w:r>
            <w:r>
              <w:rPr>
                <w:rFonts w:hint="eastAsia" w:ascii="Times New Roman" w:hAnsi="Times New Roman" w:eastAsia="仿宋_GB2312"/>
                <w:color w:val="auto"/>
                <w:sz w:val="24"/>
                <w:szCs w:val="24"/>
                <w:lang w:val="en-US" w:eastAsia="zh-CN"/>
              </w:rPr>
              <w:t xml:space="preserve"> 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学校简介和</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历史沿革</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（300字以内，无需加页）</w:t>
            </w:r>
          </w:p>
        </w:tc>
        <w:tc>
          <w:tcPr>
            <w:tcW w:w="7930" w:type="dxa"/>
            <w:gridSpan w:val="6"/>
          </w:tcPr>
          <w:p>
            <w:pPr>
              <w:pStyle w:val="21"/>
              <w:keepNext w:val="0"/>
              <w:keepLines w:val="0"/>
              <w:suppressLineNumbers w:val="0"/>
              <w:bidi w:val="0"/>
              <w:spacing w:before="0" w:beforeAutospacing="0" w:after="0" w:afterAutospacing="0"/>
              <w:ind w:left="0" w:right="0"/>
              <w:rPr>
                <w:rFonts w:hint="eastAsia" w:ascii="Times New Roman" w:hAnsi="Times New Roman"/>
              </w:rPr>
            </w:pPr>
            <w:r>
              <w:rPr>
                <w:rFonts w:hint="eastAsia" w:ascii="Times New Roman" w:hAnsi="Times New Roman"/>
              </w:rPr>
              <w:t>学校于2001年依托昆明理工大学学科专业优势创办的一所工为主，经、管、文、法等学科融合发展特色鲜明的独立学院。学校有高新、空港2个校区，占地面积922亩。设有电气与信息工程、建筑工程、经济管理理工等6个二级学院，思想政治理论、体育2个教学部，共有40个本科专业。学校拥有130余个校内外实践教学基地及770余人教职员工，其中“双师型”教师280余人，高级专业技术职称教师及硕士学位以上教师占比分别为42.43%、77.6%。</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sz w:val="24"/>
              </w:rPr>
            </w:pPr>
            <w:r>
              <w:rPr>
                <w:rFonts w:hint="eastAsia" w:ascii="Times New Roman" w:hAnsi="Times New Roman" w:eastAsia="仿宋_GB2312" w:cs="Times New Roman"/>
                <w:kern w:val="2"/>
                <w:sz w:val="24"/>
                <w:szCs w:val="24"/>
                <w:lang w:val="en-US" w:eastAsia="zh-CN" w:bidi="ar-SA"/>
              </w:rPr>
              <w:t>建校以来，学校坚持社会主义办学方向，全面贯彻党的教育方针，落实立德树人根本任务，为国家和地方经济社会发展输送了29000余名专业人才；并共计获得110余项创新创业大赛奖项及700余项各类学科竞赛奖项，其中国际级、国家级奖项共计400余项。</w:t>
            </w:r>
          </w:p>
        </w:tc>
      </w:tr>
    </w:tbl>
    <w:p>
      <w:pPr>
        <w:spacing w:line="360"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6"/>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PrEx>
        <w:trPr>
          <w:trHeight w:val="11523" w:hRule="atLeast"/>
          <w:jc w:val="center"/>
        </w:trPr>
        <w:tc>
          <w:tcPr>
            <w:tcW w:w="9000" w:type="dxa"/>
          </w:tcPr>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一、学校定位</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昆明理工大学津桥学院的</w:t>
            </w:r>
            <w:r>
              <w:rPr>
                <w:rFonts w:hint="default" w:ascii="Times New Roman" w:hAnsi="Times New Roman" w:eastAsia="仿宋_GB2312" w:cs="Times New Roman"/>
                <w:kern w:val="2"/>
                <w:sz w:val="24"/>
                <w:szCs w:val="24"/>
                <w:lang w:val="en-US" w:eastAsia="zh-CN" w:bidi="ar-SA"/>
              </w:rPr>
              <w:t>发展定位是云南领先，区域知名，特色鲜明的一流应用型大学。立足云南，面向全国，辐射南亚东南亚，服务国家战略和区域经济社会发展。在长期办学实践中，坚持按照“立德树人、服务社会、务实创新、追求卓越”的办学宗旨，以学生为本，理论联系实际，注重专业能力和创新能力培养，培养德、智、体、美、劳全面发展，具有良好专业素养，高尚人文情怀，较强创新精神和实践能力的高层次应用型人才。</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二、昆明理工大学津桥学院增设</w:t>
            </w:r>
            <w:r>
              <w:rPr>
                <w:rFonts w:hint="eastAsia" w:eastAsia="仿宋_GB2312"/>
                <w:b/>
                <w:bCs/>
                <w:sz w:val="24"/>
                <w:lang w:val="en-US" w:eastAsia="zh-CN"/>
              </w:rPr>
              <w:t>食品营养与健康</w:t>
            </w:r>
            <w:r>
              <w:rPr>
                <w:rFonts w:hint="default" w:eastAsia="仿宋_GB2312"/>
                <w:b/>
                <w:bCs/>
                <w:sz w:val="24"/>
              </w:rPr>
              <w:t>专业的必要性</w:t>
            </w:r>
          </w:p>
          <w:p>
            <w:pPr>
              <w:keepNext w:val="0"/>
              <w:keepLines w:val="0"/>
              <w:widowControl/>
              <w:suppressLineNumbers w:val="0"/>
              <w:spacing w:before="0" w:beforeLines="0" w:beforeAutospacing="0" w:after="0" w:afterLines="0" w:afterAutospacing="0" w:line="360" w:lineRule="auto"/>
              <w:ind w:left="0" w:right="0" w:firstLine="482" w:firstLineChars="200"/>
              <w:jc w:val="left"/>
              <w:rPr>
                <w:rFonts w:hint="eastAsia" w:ascii="仿宋_GB2312" w:hAnsi="宋体" w:eastAsia="仿宋_GB2312" w:cs="宋体"/>
                <w:b/>
                <w:kern w:val="0"/>
                <w:sz w:val="24"/>
                <w:szCs w:val="20"/>
                <w:lang w:bidi="zh-CN"/>
              </w:rPr>
            </w:pPr>
            <w:r>
              <w:rPr>
                <w:rFonts w:hint="eastAsia" w:ascii="仿宋_GB2312" w:hAnsi="宋体" w:eastAsia="仿宋_GB2312" w:cs="宋体"/>
                <w:b/>
                <w:kern w:val="0"/>
                <w:sz w:val="24"/>
                <w:szCs w:val="20"/>
                <w:lang w:bidi="zh-CN"/>
              </w:rPr>
              <w:t>（一）贯彻健康中国战略实施的举措</w:t>
            </w:r>
          </w:p>
          <w:p>
            <w:pPr>
              <w:keepNext w:val="0"/>
              <w:keepLines w:val="0"/>
              <w:widowControl/>
              <w:numPr>
                <w:ilvl w:val="0"/>
                <w:numId w:val="0"/>
              </w:numPr>
              <w:suppressLineNumbers w:val="0"/>
              <w:autoSpaceDE w:val="0"/>
              <w:autoSpaceDN w:val="0"/>
              <w:spacing w:before="0" w:beforeLines="0" w:beforeAutospacing="0" w:after="0" w:afterLines="0" w:afterAutospacing="0" w:line="579" w:lineRule="exact"/>
              <w:ind w:left="0" w:right="0" w:firstLine="480" w:firstLineChars="200"/>
              <w:jc w:val="left"/>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新时代推进健康中国战略。中国共产党第二十次代表大会报告提出</w:t>
            </w:r>
            <w:r>
              <w:rPr>
                <w:rFonts w:hint="eastAsia" w:ascii="仿宋_GB2312" w:hAnsi="宋体" w:eastAsia="仿宋_GB2312" w:cs="宋体"/>
                <w:b/>
                <w:kern w:val="0"/>
                <w:sz w:val="24"/>
                <w:szCs w:val="20"/>
                <w:lang w:val="zh-CN" w:bidi="zh-CN"/>
              </w:rPr>
              <w:t>推进健康中国建设，把保障人民健康放在优先发展的战略位置。</w:t>
            </w:r>
            <w:r>
              <w:rPr>
                <w:rFonts w:hint="eastAsia" w:ascii="Times New Roman" w:hAnsi="Times New Roman" w:eastAsia="仿宋_GB2312" w:cs="Times New Roman"/>
                <w:kern w:val="2"/>
                <w:sz w:val="24"/>
                <w:szCs w:val="24"/>
                <w:lang w:val="en-US" w:eastAsia="zh-CN" w:bidi="ar-SA"/>
              </w:rPr>
              <w:t>随着经济社会的发展人民生活水平的不断提高，对高品质的生活提出更高的营养与健康要求，通过科学饮食促进健康生活的习惯得到越来越多的人认可。早在2016年10月，国务院印发的《“健康中国2030”规划纲要》中指出，健康是促进人的全面发展的必然要求，是经济社会发展的基础条件。实现国民健康长寿，是国家富强、民族振兴的重要标志，也是全国各族人民的共同愿望。其中提到的国民营养是国民素质和经济社会发展的重要指标，根据《中国居民营养与慢性病状况报告（2020年）》，我国居民营养不足的问题得到了持续缓解，6岁以下儿童生长迟缓率降至7%以下，低体重率降至5%以下。但仍面临膳食结构不合理、营养不足与过剩并存以及营养相关疾病多发等问题。</w:t>
            </w:r>
          </w:p>
          <w:p>
            <w:pPr>
              <w:pStyle w:val="16"/>
              <w:keepNext w:val="0"/>
              <w:keepLines w:val="0"/>
              <w:numPr>
                <w:ilvl w:val="0"/>
                <w:numId w:val="0"/>
              </w:numPr>
              <w:suppressLineNumbers w:val="0"/>
              <w:spacing w:before="66" w:beforeLines="0" w:beforeAutospacing="0" w:after="0" w:afterLines="0" w:afterAutospacing="0" w:line="579" w:lineRule="exact"/>
              <w:ind w:left="0" w:right="469" w:firstLine="482" w:firstLineChars="200"/>
              <w:rPr>
                <w:rFonts w:hint="eastAsia" w:ascii="Times New Roman" w:hAnsi="Times New Roman" w:eastAsia="仿宋_GB2312" w:cs="Times New Roman"/>
                <w:kern w:val="2"/>
                <w:sz w:val="24"/>
                <w:szCs w:val="24"/>
                <w:lang w:val="en-US" w:eastAsia="zh-CN" w:bidi="ar-SA"/>
              </w:rPr>
            </w:pPr>
            <w:r>
              <w:rPr>
                <w:rFonts w:hint="eastAsia" w:ascii="仿宋_GB2312" w:eastAsia="仿宋_GB2312"/>
                <w:b/>
                <w:sz w:val="24"/>
                <w:szCs w:val="20"/>
                <w:lang w:val="en-US"/>
              </w:rPr>
              <w:t>同时，老龄化社会需重视营养与健康。</w:t>
            </w:r>
            <w:r>
              <w:rPr>
                <w:rFonts w:hint="eastAsia" w:ascii="Times New Roman" w:hAnsi="Times New Roman" w:eastAsia="仿宋_GB2312" w:cs="Times New Roman"/>
                <w:kern w:val="2"/>
                <w:sz w:val="24"/>
                <w:szCs w:val="24"/>
                <w:lang w:val="en-US" w:eastAsia="zh-CN" w:bidi="ar-SA"/>
              </w:rPr>
              <w:t>随着老龄化社会的来临，针对“一老一小”的食品营养管理服务引导健康成长和康健养老显得更加必要，学校增设食品营养与健康专业，提前布局食品营养与健康人才培养服务区域全面小康社会建设，是结合区域经济社会发展需求，对落实国家健康中国战略的积极响应。以传统的饮食文化来优化食物与营养结构，并与预防营养性疾病相结合，提高全民营养、健康水平已成当务之急。因此，开设食品营养与健康专业，培养食品营养与健康相关专业人才符合健康中国战略发展规划需求。</w:t>
            </w:r>
          </w:p>
          <w:p>
            <w:pPr>
              <w:pStyle w:val="16"/>
              <w:keepNext w:val="0"/>
              <w:keepLines w:val="0"/>
              <w:numPr>
                <w:ilvl w:val="0"/>
                <w:numId w:val="0"/>
              </w:numPr>
              <w:suppressLineNumbers w:val="0"/>
              <w:spacing w:before="66" w:beforeLines="0" w:beforeAutospacing="0" w:after="0" w:afterLines="0" w:afterAutospacing="0" w:line="360" w:lineRule="auto"/>
              <w:ind w:left="0" w:right="469" w:firstLine="0"/>
              <w:rPr>
                <w:rFonts w:hint="eastAsia" w:ascii="仿宋_GB2312" w:eastAsia="仿宋_GB2312"/>
                <w:b/>
                <w:sz w:val="24"/>
                <w:szCs w:val="20"/>
                <w:lang w:val="en-US"/>
              </w:rPr>
            </w:pPr>
            <w:r>
              <w:rPr>
                <w:rFonts w:hint="eastAsia" w:ascii="仿宋_GB2312" w:eastAsia="仿宋_GB2312"/>
                <w:b/>
                <w:sz w:val="24"/>
                <w:szCs w:val="20"/>
                <w:lang w:val="en-US"/>
              </w:rPr>
              <w:t>（二）符合云南省发展阶段和</w:t>
            </w:r>
            <w:r>
              <w:rPr>
                <w:rFonts w:hint="eastAsia" w:ascii="仿宋_GB2312" w:eastAsia="仿宋_GB2312"/>
                <w:b/>
                <w:sz w:val="24"/>
                <w:szCs w:val="20"/>
                <w:lang w:val="en-US" w:eastAsia="zh-CN"/>
              </w:rPr>
              <w:t>健康</w:t>
            </w:r>
            <w:r>
              <w:rPr>
                <w:rFonts w:hint="eastAsia" w:ascii="仿宋_GB2312" w:eastAsia="仿宋_GB2312"/>
                <w:b/>
                <w:sz w:val="24"/>
                <w:szCs w:val="20"/>
                <w:lang w:val="en-US"/>
              </w:rPr>
              <w:t>产业发展战略需要</w:t>
            </w:r>
          </w:p>
          <w:p>
            <w:pPr>
              <w:pStyle w:val="16"/>
              <w:keepNext w:val="0"/>
              <w:keepLines w:val="0"/>
              <w:numPr>
                <w:ilvl w:val="0"/>
                <w:numId w:val="0"/>
              </w:numPr>
              <w:suppressLineNumbers w:val="0"/>
              <w:spacing w:before="66" w:beforeLines="0" w:beforeAutospacing="0" w:after="0" w:afterLines="0" w:afterAutospacing="0" w:line="360" w:lineRule="auto"/>
              <w:ind w:left="0" w:right="469" w:firstLine="480" w:firstLineChars="200"/>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为推动健康产业发展，国务院办公厅印发了《国民营养计划（2017—2030年）》的通知和《“健康云南2030”规划纲要》，为贯彻纲要，2018年4月云南省印发的《云南省国民营养计划（2018−2030 年）实施方案》，在方案中明确指出要在有条件的学校、幼儿园、养老机构等场所配备或聘请营养师，同时要开展传统养生食材监测评价，推进传统食养产品的研发以及产业升级换代等。2020年5月，云南省印发的《健康云南行动2020-2030年》中明确指出，每万人配备一名营养指导员。2023年，云南省为制定“3815”战略，明确提出制定实施基本公共服务提升三年行动，实施就业优先战略，健全多层次社会保障体系，深入推进健康云南建设，不断提高人民生活品质。可见，国家及云南省健康行动战略的实施为食品营养和健康专业的发展提出了新要求、同时也带来了新机遇。开设食品营养和健康专业，培养从事营养健康相关的科学研究、技术创新、健康管理、功能食品开发、营养科普宣传、营养健康大数据分析利用、政策咨询等方面工作的高素质应用型人，推进“健康云南”建设，满足云南省地方发展的人才培养的迫切需求。</w:t>
            </w:r>
          </w:p>
          <w:p>
            <w:pPr>
              <w:pStyle w:val="16"/>
              <w:keepNext w:val="0"/>
              <w:keepLines w:val="0"/>
              <w:numPr>
                <w:ilvl w:val="0"/>
                <w:numId w:val="0"/>
              </w:numPr>
              <w:suppressLineNumbers w:val="0"/>
              <w:spacing w:before="66" w:beforeLines="0" w:beforeAutospacing="0" w:after="0" w:afterLines="0" w:afterAutospacing="0" w:line="360" w:lineRule="auto"/>
              <w:ind w:left="0" w:right="469" w:firstLine="0"/>
              <w:rPr>
                <w:rFonts w:hint="eastAsia" w:ascii="仿宋_GB2312" w:eastAsia="仿宋_GB2312"/>
                <w:b/>
                <w:sz w:val="24"/>
                <w:szCs w:val="20"/>
                <w:lang w:val="en-US"/>
              </w:rPr>
            </w:pPr>
            <w:r>
              <w:rPr>
                <w:rFonts w:hint="eastAsia" w:ascii="仿宋_GB2312" w:eastAsia="仿宋_GB2312"/>
                <w:b/>
                <w:sz w:val="24"/>
                <w:szCs w:val="20"/>
                <w:lang w:val="en-US"/>
              </w:rPr>
              <w:t>（三）满足居民健康意识提升带来的专业人才需求</w:t>
            </w:r>
          </w:p>
          <w:p>
            <w:pPr>
              <w:pStyle w:val="16"/>
              <w:keepNext w:val="0"/>
              <w:keepLines w:val="0"/>
              <w:numPr>
                <w:ilvl w:val="0"/>
                <w:numId w:val="0"/>
              </w:numPr>
              <w:suppressLineNumbers w:val="0"/>
              <w:spacing w:before="66" w:beforeLines="0" w:beforeAutospacing="0" w:after="0" w:afterLines="0" w:afterAutospacing="0" w:line="360" w:lineRule="auto"/>
              <w:ind w:left="0" w:right="469" w:firstLine="480" w:firstLineChars="200"/>
              <w:rPr>
                <w:rFonts w:hint="eastAsia" w:ascii="Times New Roman" w:hAnsi="Times New Roman" w:eastAsia="仿宋_GB2312" w:cs="Times New Roman"/>
                <w:kern w:val="2"/>
                <w:sz w:val="24"/>
                <w:szCs w:val="24"/>
                <w:lang w:val="en-US" w:eastAsia="zh-CN" w:bidi="ar-SA"/>
              </w:rPr>
            </w:pPr>
            <w:r>
              <w:rPr>
                <w:rFonts w:hint="eastAsia" w:ascii="Times New Roman" w:hAnsi="Times New Roman" w:eastAsia="仿宋_GB2312" w:cs="Times New Roman"/>
                <w:kern w:val="2"/>
                <w:sz w:val="24"/>
                <w:szCs w:val="24"/>
                <w:lang w:val="en-US" w:eastAsia="zh-CN" w:bidi="ar-SA"/>
              </w:rPr>
              <w:t>随着人民生活水平的提高和健康意识的增强，日益形成的健康消费观将对食品营养与健康提出新的要求，越来越多的人注重健康管理。食物是维持人的身体状态的物质基础，能够为人类提供所需要的营养元素和能量。从“要吃饱”转化为“要吃好”，而对“好”的定义就是摄入的食物健康。据相关资料显示，近年来肥胖、高血压、糖尿病等慢性病的患病率显著上升，已成为威胁国人健康的突出问题，引起了全社会的普遍担忧与关注。这些问题提升了消费者对健康的饮食的关注度。不同的食物含有不同的营养物质，科学合理的搭配能够增强人的免疫力，促进人的身体健康，但是目前居民的营养健康知识普及率较低，专业营养师服务率极低，需要大量的营养专业人才科学指导居民科学合理选择食品，社会对营养健康师的需求越来越大。</w:t>
            </w:r>
          </w:p>
          <w:p>
            <w:pPr>
              <w:pStyle w:val="16"/>
              <w:keepNext w:val="0"/>
              <w:keepLines w:val="0"/>
              <w:numPr>
                <w:ilvl w:val="0"/>
                <w:numId w:val="0"/>
              </w:numPr>
              <w:suppressLineNumbers w:val="0"/>
              <w:spacing w:before="66" w:beforeLines="0" w:beforeAutospacing="0" w:after="0" w:afterLines="0" w:afterAutospacing="0" w:line="360" w:lineRule="auto"/>
              <w:ind w:left="0" w:right="469" w:firstLine="482" w:firstLineChars="200"/>
              <w:rPr>
                <w:rFonts w:hint="eastAsia" w:ascii="Times New Roman" w:hAnsi="Times New Roman" w:eastAsia="仿宋_GB2312" w:cs="Times New Roman"/>
                <w:b/>
                <w:bCs/>
                <w:kern w:val="2"/>
                <w:sz w:val="24"/>
                <w:szCs w:val="24"/>
                <w:lang w:val="en-US" w:eastAsia="zh-CN" w:bidi="ar-SA"/>
              </w:rPr>
            </w:pPr>
            <w:r>
              <w:rPr>
                <w:rFonts w:hint="eastAsia" w:ascii="Times New Roman" w:hAnsi="Times New Roman" w:eastAsia="仿宋_GB2312" w:cs="Times New Roman"/>
                <w:b/>
                <w:bCs/>
                <w:kern w:val="2"/>
                <w:sz w:val="24"/>
                <w:szCs w:val="24"/>
                <w:lang w:val="en-US" w:eastAsia="zh-CN" w:bidi="ar-SA"/>
              </w:rPr>
              <w:t>三、支撑该专业发展的学科基础</w:t>
            </w:r>
          </w:p>
          <w:p>
            <w:pPr>
              <w:keepNext w:val="0"/>
              <w:keepLines w:val="0"/>
              <w:suppressLineNumbers w:val="0"/>
              <w:spacing w:before="0" w:beforeAutospacing="0" w:after="0" w:afterAutospacing="0" w:line="360" w:lineRule="auto"/>
              <w:ind w:left="0" w:right="0" w:firstLine="482" w:firstLineChars="200"/>
              <w:rPr>
                <w:rFonts w:hint="default" w:eastAsia="仿宋_GB2312"/>
                <w:b w:val="0"/>
                <w:bCs w:val="0"/>
                <w:sz w:val="24"/>
                <w:lang w:val="en-US" w:eastAsia="zh-CN"/>
              </w:rPr>
            </w:pPr>
            <w:r>
              <w:rPr>
                <w:rFonts w:hint="eastAsia" w:eastAsia="仿宋_GB2312"/>
                <w:b/>
                <w:bCs/>
                <w:sz w:val="24"/>
                <w:lang w:val="en-US" w:eastAsia="zh-CN"/>
              </w:rPr>
              <w:t>首先，学科支撑。</w:t>
            </w:r>
            <w:r>
              <w:rPr>
                <w:rFonts w:hint="eastAsia" w:eastAsia="仿宋_GB2312"/>
                <w:b w:val="0"/>
                <w:bCs w:val="0"/>
                <w:sz w:val="24"/>
                <w:lang w:val="en-US" w:eastAsia="zh-CN"/>
              </w:rPr>
              <w:t>学院2016年开设了食品质量与安全本科专业，已具备食品相关专业的“食品工程原理 ”、“功能食品学”、“食品卫生学 ”、“食品机械与设备 ”、“食品分析与检验”、“食品毒理学”等主干课程的教师，本专业专任教师15人，其中副教授以上8人，高级职称教师的比例达57.0%，具有硕士及以上学位教师10人，比例达66.7%。高级职称教师均为本科生授课，教学质量得到有效保障。此外，从相关知名企业及康旅集团聘请了生产实习的导师 15名； 建立了相应的食品分析、食品微生物、食品机械与设备、食品加工等实验室，为本专业提供了良好的教学与科研条件。可见，已具备开设该专业的良好的基本条件。</w:t>
            </w:r>
            <w:r>
              <w:rPr>
                <w:rFonts w:hint="eastAsia" w:eastAsia="仿宋_GB2312"/>
                <w:b/>
                <w:bCs/>
                <w:sz w:val="24"/>
                <w:lang w:val="en-US" w:eastAsia="zh-CN"/>
              </w:rPr>
              <w:t>其次，实践教学基地。</w:t>
            </w:r>
            <w:r>
              <w:rPr>
                <w:rFonts w:hint="eastAsia" w:eastAsia="仿宋_GB2312"/>
                <w:b w:val="0"/>
                <w:bCs w:val="0"/>
                <w:sz w:val="24"/>
                <w:lang w:val="en-US" w:eastAsia="zh-CN"/>
              </w:rPr>
              <w:t>目前学院与云南省康旅控股集团有限公司、昆明海关技术中心、云南孚尔检验检测有限公司、昆明高上高食品有限公司等知名企业开展广泛的合作。共建校外实践基地，并正在积极与地方餐饮、营养管 理与健康服务等产业及机构进行沟通交流，为食品营养与健康专业的人才培养提供良好的实践实训条件。</w:t>
            </w:r>
            <w:r>
              <w:rPr>
                <w:rFonts w:hint="eastAsia" w:eastAsia="仿宋_GB2312"/>
                <w:b/>
                <w:bCs/>
                <w:sz w:val="24"/>
                <w:lang w:val="en-US" w:eastAsia="zh-CN"/>
              </w:rPr>
              <w:t>最后，地方政策支持。</w:t>
            </w:r>
            <w:r>
              <w:rPr>
                <w:rFonts w:hint="eastAsia" w:eastAsia="仿宋_GB2312"/>
                <w:b w:val="0"/>
                <w:bCs w:val="0"/>
                <w:sz w:val="24"/>
                <w:lang w:val="en-US" w:eastAsia="zh-CN"/>
              </w:rPr>
              <w:t>根据《云南省产业发展规划（2016-2025）》在未来 5 年内，与本专业相关的“生物医药与大健康产业”，“高原特色农业产业”，“食品与消费品制造业”已被列为云南省重点发展产业。紧紧围绕省委、省政府打造世界一 流“绿色食品牌 ”部署要求。一系列的政府政策支持，一方面将为食品制造和监管、营养管理与健康服务等相关行业的发展提供机遇，大幅增加相关的人才需求量。另一方面，在培养该专业人才过程中，高校与产业、高校与社会、高校与政府的资源互补、合作为培养该专业的人才提供了充分的保障条件。</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eastAsia" w:eastAsia="仿宋_GB2312"/>
                <w:b/>
                <w:bCs/>
                <w:sz w:val="24"/>
                <w:lang w:val="en-US" w:eastAsia="zh-CN"/>
              </w:rPr>
              <w:t>四</w:t>
            </w:r>
            <w:r>
              <w:rPr>
                <w:rFonts w:hint="default" w:eastAsia="仿宋_GB2312"/>
                <w:b/>
                <w:bCs/>
                <w:sz w:val="24"/>
              </w:rPr>
              <w:t>、学校专业发展规划</w:t>
            </w:r>
          </w:p>
          <w:p>
            <w:pPr>
              <w:keepNext w:val="0"/>
              <w:keepLines w:val="0"/>
              <w:suppressLineNumbers w:val="0"/>
              <w:spacing w:before="0" w:beforeLines="0" w:beforeAutospacing="0" w:after="0" w:afterLines="0" w:afterAutospacing="0" w:line="360" w:lineRule="auto"/>
              <w:ind w:left="0" w:right="0" w:firstLine="480" w:firstLineChars="200"/>
              <w:jc w:val="left"/>
              <w:rPr>
                <w:rFonts w:hint="eastAsia" w:ascii="仿宋_GB2312" w:eastAsia="仿宋_GB2312"/>
                <w:sz w:val="24"/>
                <w:szCs w:val="22"/>
              </w:rPr>
            </w:pPr>
            <w:r>
              <w:rPr>
                <w:rFonts w:hint="eastAsia" w:eastAsia="仿宋_GB2312"/>
                <w:sz w:val="24"/>
                <w:lang w:val="en-US" w:eastAsia="zh-CN"/>
              </w:rPr>
              <w:t xml:space="preserve"> </w:t>
            </w:r>
            <w:r>
              <w:rPr>
                <w:rFonts w:hint="eastAsia" w:ascii="Times New Roman" w:hAnsi="Times New Roman" w:eastAsia="仿宋_GB2312" w:cs="Times New Roman"/>
                <w:kern w:val="2"/>
                <w:sz w:val="24"/>
                <w:szCs w:val="24"/>
                <w:lang w:val="en-US" w:eastAsia="zh-CN" w:bidi="ar-SA"/>
              </w:rPr>
              <w:t>为高质量建设食品营养与健康专业，按照传统的办学模式难以办出水平、办出特色。经云南省康旅集团和昆明理工大学津桥学院商议，决定创新办学模式，探索民办高校现代产业学院新模式建设食品营养与健康专业。</w:t>
            </w:r>
          </w:p>
          <w:p>
            <w:pPr>
              <w:keepNext w:val="0"/>
              <w:keepLines w:val="0"/>
              <w:suppressLineNumbers w:val="0"/>
              <w:spacing w:before="0" w:beforeLines="0" w:beforeAutospacing="0" w:after="0" w:afterLines="0" w:afterAutospacing="0" w:line="360" w:lineRule="auto"/>
              <w:ind w:left="0" w:right="0" w:firstLine="482" w:firstLineChars="200"/>
              <w:jc w:val="left"/>
              <w:rPr>
                <w:rFonts w:hint="eastAsia" w:ascii="仿宋_GB2312" w:eastAsia="仿宋_GB2312"/>
                <w:sz w:val="24"/>
                <w:szCs w:val="22"/>
              </w:rPr>
            </w:pPr>
            <w:r>
              <w:rPr>
                <w:rFonts w:hint="eastAsia" w:ascii="仿宋_GB2312" w:eastAsia="仿宋_GB2312"/>
                <w:b/>
                <w:sz w:val="24"/>
                <w:szCs w:val="22"/>
              </w:rPr>
              <w:t>（一）拓展办学空间条件</w:t>
            </w:r>
          </w:p>
          <w:p>
            <w:pPr>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360" w:lineRule="auto"/>
              <w:ind w:left="0" w:right="0" w:firstLine="480" w:firstLineChars="200"/>
              <w:jc w:val="left"/>
              <w:textAlignment w:val="auto"/>
              <w:rPr>
                <w:rFonts w:hint="eastAsia" w:ascii="仿宋_GB2312" w:eastAsia="仿宋_GB2312"/>
                <w:sz w:val="24"/>
                <w:szCs w:val="22"/>
                <w:highlight w:val="none"/>
              </w:rPr>
            </w:pPr>
            <w:r>
              <w:rPr>
                <w:rFonts w:hint="eastAsia" w:ascii="仿宋_GB2312" w:eastAsia="仿宋_GB2312"/>
                <w:sz w:val="24"/>
                <w:szCs w:val="22"/>
                <w:highlight w:val="none"/>
              </w:rPr>
              <w:t xml:space="preserve">办学空间由昆明理工大学津桥学院高新校区为主体，高新校区目前占地 </w:t>
            </w:r>
            <w:r>
              <w:rPr>
                <w:rFonts w:hint="eastAsia" w:ascii="仿宋_GB2312" w:eastAsia="仿宋_GB2312"/>
                <w:sz w:val="24"/>
                <w:szCs w:val="22"/>
                <w:highlight w:val="none"/>
                <w:lang w:val="en-US" w:eastAsia="zh-CN"/>
              </w:rPr>
              <w:t>606</w:t>
            </w:r>
            <w:r>
              <w:rPr>
                <w:rFonts w:hint="eastAsia" w:ascii="仿宋_GB2312" w:eastAsia="仿宋_GB2312"/>
                <w:sz w:val="24"/>
                <w:szCs w:val="22"/>
                <w:highlight w:val="none"/>
              </w:rPr>
              <w:t xml:space="preserve"> 亩建筑面积 </w:t>
            </w:r>
            <w:r>
              <w:rPr>
                <w:rFonts w:hint="eastAsia" w:ascii="仿宋_GB2312" w:eastAsia="仿宋_GB2312"/>
                <w:sz w:val="24"/>
                <w:szCs w:val="22"/>
                <w:highlight w:val="none"/>
                <w:lang w:val="en-US" w:eastAsia="zh-CN"/>
              </w:rPr>
              <w:t>55.57</w:t>
            </w:r>
            <w:r>
              <w:rPr>
                <w:rFonts w:hint="eastAsia" w:ascii="仿宋_GB2312" w:eastAsia="仿宋_GB2312"/>
                <w:sz w:val="24"/>
                <w:szCs w:val="22"/>
                <w:highlight w:val="none"/>
              </w:rPr>
              <w:t>平方米，有体育馆、食堂等能够满足人才培养需求。学生大一、大二在高新校区学习基础课程，确保学生德智体美劳全面发展。三四年级学生全部到康旅集团旗下的相关单位开展教学、实践、实训和科研活动。</w:t>
            </w:r>
          </w:p>
          <w:p>
            <w:pPr>
              <w:keepNext w:val="0"/>
              <w:keepLines w:val="0"/>
              <w:suppressLineNumbers w:val="0"/>
              <w:spacing w:before="0" w:beforeLines="0" w:beforeAutospacing="0" w:after="0" w:afterLines="0" w:afterAutospacing="0" w:line="360" w:lineRule="auto"/>
              <w:ind w:left="0" w:right="0" w:firstLine="482" w:firstLineChars="200"/>
              <w:jc w:val="left"/>
              <w:rPr>
                <w:rFonts w:hint="eastAsia" w:ascii="仿宋_GB2312" w:eastAsia="仿宋_GB2312"/>
                <w:b/>
                <w:sz w:val="24"/>
                <w:szCs w:val="22"/>
                <w:lang w:val="en-US" w:eastAsia="zh-CN"/>
              </w:rPr>
            </w:pPr>
            <w:r>
              <w:rPr>
                <w:rFonts w:hint="eastAsia" w:ascii="仿宋_GB2312" w:eastAsia="仿宋_GB2312"/>
                <w:b/>
                <w:sz w:val="24"/>
                <w:szCs w:val="22"/>
              </w:rPr>
              <w:t>（二）</w:t>
            </w:r>
            <w:r>
              <w:rPr>
                <w:rFonts w:hint="eastAsia" w:ascii="仿宋_GB2312" w:eastAsia="仿宋_GB2312"/>
                <w:b/>
                <w:sz w:val="24"/>
                <w:szCs w:val="22"/>
                <w:lang w:val="en-US" w:eastAsia="zh-CN"/>
              </w:rPr>
              <w:t>完善校企</w:t>
            </w:r>
            <w:r>
              <w:rPr>
                <w:rFonts w:hint="eastAsia" w:ascii="仿宋_GB2312" w:eastAsia="仿宋_GB2312"/>
                <w:b/>
                <w:sz w:val="24"/>
                <w:szCs w:val="22"/>
              </w:rPr>
              <w:t>实验</w:t>
            </w:r>
            <w:r>
              <w:rPr>
                <w:rFonts w:hint="eastAsia" w:ascii="仿宋_GB2312" w:eastAsia="仿宋_GB2312"/>
                <w:b/>
                <w:sz w:val="24"/>
                <w:szCs w:val="22"/>
                <w:lang w:val="en-US" w:eastAsia="zh-CN"/>
              </w:rPr>
              <w:t>、</w:t>
            </w:r>
            <w:r>
              <w:rPr>
                <w:rFonts w:hint="eastAsia" w:ascii="仿宋_GB2312" w:eastAsia="仿宋_GB2312"/>
                <w:b/>
                <w:sz w:val="24"/>
                <w:szCs w:val="22"/>
              </w:rPr>
              <w:t>实训室</w:t>
            </w:r>
            <w:r>
              <w:rPr>
                <w:rFonts w:hint="eastAsia" w:ascii="仿宋_GB2312" w:eastAsia="仿宋_GB2312"/>
                <w:b/>
                <w:sz w:val="24"/>
                <w:szCs w:val="22"/>
                <w:lang w:val="en-US" w:eastAsia="zh-CN"/>
              </w:rPr>
              <w:t>设备</w:t>
            </w:r>
          </w:p>
          <w:p>
            <w:pPr>
              <w:keepNext w:val="0"/>
              <w:keepLines w:val="0"/>
              <w:pageBreakBefore w:val="0"/>
              <w:widowControl w:val="0"/>
              <w:suppressLineNumbers w:val="0"/>
              <w:kinsoku/>
              <w:wordWrap/>
              <w:overflowPunct/>
              <w:topLinePunct w:val="0"/>
              <w:autoSpaceDE/>
              <w:autoSpaceDN/>
              <w:bidi w:val="0"/>
              <w:adjustRightInd/>
              <w:snapToGrid/>
              <w:spacing w:before="0" w:beforeLines="0" w:beforeAutospacing="0" w:after="0" w:afterLines="0" w:afterAutospacing="0" w:line="360" w:lineRule="auto"/>
              <w:ind w:left="0" w:right="0" w:firstLine="480" w:firstLineChars="200"/>
              <w:jc w:val="left"/>
              <w:textAlignment w:val="auto"/>
              <w:rPr>
                <w:rFonts w:hint="eastAsia"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首先，</w:t>
            </w:r>
            <w:r>
              <w:rPr>
                <w:rFonts w:hint="eastAsia" w:ascii="Times New Roman" w:hAnsi="Times New Roman" w:eastAsia="仿宋_GB2312" w:cs="Times New Roman"/>
                <w:kern w:val="2"/>
                <w:sz w:val="24"/>
                <w:szCs w:val="24"/>
                <w:lang w:val="en-US" w:eastAsia="zh-CN" w:bidi="ar-SA"/>
              </w:rPr>
              <w:t>保障实验实训设备建设的经费投入，建立食品营养与健康虚拟仿真实验室，积极筹建食品营养与健康省级重点实验室或工程中心。</w:t>
            </w:r>
            <w:r>
              <w:rPr>
                <w:rFonts w:hint="eastAsia" w:eastAsia="仿宋_GB2312" w:cs="Times New Roman"/>
                <w:kern w:val="2"/>
                <w:sz w:val="24"/>
                <w:szCs w:val="24"/>
                <w:lang w:val="en-US" w:eastAsia="zh-CN" w:bidi="ar-SA"/>
              </w:rPr>
              <w:t>其次，统筹校企实验、实训室设备，提高资源利用率。</w:t>
            </w:r>
            <w:r>
              <w:rPr>
                <w:rFonts w:hint="eastAsia" w:ascii="Times New Roman" w:hAnsi="Times New Roman" w:eastAsia="仿宋_GB2312" w:cs="Times New Roman"/>
                <w:kern w:val="2"/>
                <w:sz w:val="24"/>
                <w:szCs w:val="24"/>
                <w:lang w:val="en-US" w:eastAsia="zh-CN" w:bidi="ar-SA"/>
              </w:rPr>
              <w:t>专业课程需要的设备以云南康旅集团旗下企业现有设备为主，只购置部分企业没有而又是教学必需的实验设备，在保证办学条件的前提下适度降低办学成本，也在一定程度上提高企业的资源利用率。此外，与区域内的院校、相关机构建立合作关系，相互支持，共享实验、实训场地、设施设备，充分利用社会资源，实现社会效益最大化。</w:t>
            </w:r>
          </w:p>
          <w:p>
            <w:pPr>
              <w:keepNext w:val="0"/>
              <w:keepLines w:val="0"/>
              <w:suppressLineNumbers w:val="0"/>
              <w:spacing w:before="0" w:beforeLines="0" w:beforeAutospacing="0" w:after="0" w:afterLines="0" w:afterAutospacing="0" w:line="360" w:lineRule="auto"/>
              <w:ind w:left="0" w:right="0" w:firstLine="482" w:firstLineChars="200"/>
              <w:jc w:val="left"/>
              <w:rPr>
                <w:rFonts w:hint="default" w:ascii="仿宋_GB2312" w:eastAsia="仿宋_GB2312"/>
                <w:b/>
                <w:sz w:val="24"/>
                <w:szCs w:val="22"/>
                <w:lang w:val="en-US" w:eastAsia="zh-CN"/>
              </w:rPr>
            </w:pPr>
            <w:r>
              <w:rPr>
                <w:rFonts w:hint="eastAsia" w:ascii="仿宋_GB2312" w:eastAsia="仿宋_GB2312"/>
                <w:b/>
                <w:sz w:val="24"/>
                <w:szCs w:val="22"/>
              </w:rPr>
              <w:t>（三）</w:t>
            </w:r>
            <w:r>
              <w:rPr>
                <w:rFonts w:hint="eastAsia" w:ascii="仿宋_GB2312" w:eastAsia="仿宋_GB2312"/>
                <w:b/>
                <w:sz w:val="24"/>
                <w:szCs w:val="22"/>
                <w:lang w:val="en-US" w:eastAsia="zh-CN"/>
              </w:rPr>
              <w:t>加强师资队伍建设</w:t>
            </w:r>
          </w:p>
          <w:p>
            <w:pPr>
              <w:keepNext w:val="0"/>
              <w:keepLines w:val="0"/>
              <w:suppressLineNumbers w:val="0"/>
              <w:spacing w:before="0" w:beforeLines="0" w:beforeAutospacing="0" w:after="0" w:afterLines="0" w:afterAutospacing="0" w:line="360" w:lineRule="auto"/>
              <w:ind w:left="0" w:right="0" w:firstLine="480" w:firstLineChars="200"/>
              <w:jc w:val="left"/>
              <w:rPr>
                <w:rFonts w:hint="eastAsia" w:ascii="仿宋_GB2312" w:eastAsia="仿宋_GB2312"/>
                <w:sz w:val="24"/>
                <w:szCs w:val="22"/>
              </w:rPr>
            </w:pPr>
            <w:r>
              <w:rPr>
                <w:rFonts w:hint="eastAsia" w:ascii="Times New Roman" w:hAnsi="Times New Roman" w:eastAsia="仿宋_GB2312" w:cs="Times New Roman"/>
                <w:kern w:val="2"/>
                <w:sz w:val="24"/>
                <w:szCs w:val="24"/>
                <w:lang w:val="en-US" w:eastAsia="zh-CN" w:bidi="ar-SA"/>
              </w:rPr>
              <w:t>一</w:t>
            </w:r>
            <w:r>
              <w:rPr>
                <w:rFonts w:hint="eastAsia" w:ascii="Times New Roman" w:hAnsi="Times New Roman" w:eastAsia="仿宋_GB2312" w:cs="Times New Roman"/>
                <w:b/>
                <w:bCs/>
                <w:kern w:val="2"/>
                <w:sz w:val="24"/>
                <w:szCs w:val="24"/>
                <w:lang w:val="en-US" w:eastAsia="zh-CN" w:bidi="ar-SA"/>
              </w:rPr>
              <w:t>是</w:t>
            </w:r>
            <w:r>
              <w:rPr>
                <w:rFonts w:hint="eastAsia" w:ascii="Times New Roman" w:hAnsi="Times New Roman" w:eastAsia="仿宋_GB2312" w:cs="Times New Roman"/>
                <w:kern w:val="2"/>
                <w:sz w:val="24"/>
                <w:szCs w:val="24"/>
                <w:lang w:val="en-US" w:eastAsia="zh-CN" w:bidi="ar-SA"/>
              </w:rPr>
              <w:t>依托昆明理工大学现自有思政等基础课教师、辅导员、专业基础课教师、教学管理服务人员等，确保应用型人才培养宽口径、厚基础得以保障，确保立德树人根本任务落实更加全面。二</w:t>
            </w:r>
            <w:r>
              <w:rPr>
                <w:rFonts w:hint="eastAsia" w:ascii="Times New Roman" w:hAnsi="Times New Roman" w:eastAsia="仿宋_GB2312" w:cs="Times New Roman"/>
                <w:b/>
                <w:bCs/>
                <w:kern w:val="2"/>
                <w:sz w:val="24"/>
                <w:szCs w:val="24"/>
                <w:lang w:val="en-US" w:eastAsia="zh-CN" w:bidi="ar-SA"/>
              </w:rPr>
              <w:t>是</w:t>
            </w:r>
            <w:r>
              <w:rPr>
                <w:rFonts w:hint="eastAsia" w:ascii="Times New Roman" w:hAnsi="Times New Roman" w:eastAsia="仿宋_GB2312" w:cs="Times New Roman"/>
                <w:kern w:val="2"/>
                <w:sz w:val="24"/>
                <w:szCs w:val="24"/>
                <w:lang w:val="en-US" w:eastAsia="zh-CN" w:bidi="ar-SA"/>
              </w:rPr>
              <w:t>根据需要面向昆明理工大学、云南大学、昆明医科大学、云南师范大学等省内高校采取临聘、短聘、常聘等方式遴选优秀教师加入食品营养与健康教师团队，确保专业基础课师资力量供给。另外，采取外部引进和内部培养相结合的办法，逐步提高教师队伍高职称、高学历比例和工程素质，加强青年教师的培训和骨干教师培养。</w:t>
            </w:r>
          </w:p>
          <w:p>
            <w:pPr>
              <w:keepNext w:val="0"/>
              <w:keepLines w:val="0"/>
              <w:suppressLineNumbers w:val="0"/>
              <w:spacing w:before="0" w:beforeLines="0" w:beforeAutospacing="0" w:after="0" w:afterLines="0" w:afterAutospacing="0" w:line="360" w:lineRule="auto"/>
              <w:ind w:left="0" w:right="0" w:firstLine="482" w:firstLineChars="200"/>
              <w:jc w:val="left"/>
              <w:rPr>
                <w:rFonts w:hint="eastAsia" w:ascii="仿宋_GB2312" w:eastAsia="仿宋_GB2312"/>
                <w:b/>
                <w:sz w:val="24"/>
                <w:szCs w:val="22"/>
              </w:rPr>
            </w:pPr>
            <w:r>
              <w:rPr>
                <w:rFonts w:hint="eastAsia" w:ascii="仿宋_GB2312" w:eastAsia="仿宋_GB2312"/>
                <w:b/>
                <w:sz w:val="24"/>
                <w:szCs w:val="22"/>
              </w:rPr>
              <w:t>（四）</w:t>
            </w:r>
            <w:r>
              <w:rPr>
                <w:rFonts w:hint="eastAsia" w:ascii="仿宋_GB2312" w:eastAsia="仿宋_GB2312"/>
                <w:b/>
                <w:sz w:val="24"/>
                <w:szCs w:val="22"/>
                <w:lang w:val="en-US" w:eastAsia="zh-CN"/>
              </w:rPr>
              <w:t>构建</w:t>
            </w:r>
            <w:r>
              <w:rPr>
                <w:rFonts w:hint="eastAsia" w:ascii="仿宋_GB2312" w:eastAsia="仿宋_GB2312"/>
                <w:b/>
                <w:sz w:val="24"/>
                <w:szCs w:val="22"/>
              </w:rPr>
              <w:t>民办高校现代产业学院</w:t>
            </w:r>
            <w:r>
              <w:rPr>
                <w:rFonts w:hint="eastAsia" w:ascii="仿宋_GB2312" w:eastAsia="仿宋_GB2312"/>
                <w:b/>
                <w:sz w:val="24"/>
                <w:szCs w:val="22"/>
                <w:lang w:val="en-US" w:eastAsia="zh-CN"/>
              </w:rPr>
              <w:t>办学</w:t>
            </w:r>
            <w:r>
              <w:rPr>
                <w:rFonts w:hint="eastAsia" w:ascii="仿宋_GB2312" w:eastAsia="仿宋_GB2312"/>
                <w:b/>
                <w:sz w:val="24"/>
                <w:szCs w:val="22"/>
              </w:rPr>
              <w:t>新模式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_GB2312" w:hAnsi="宋体" w:eastAsia="仿宋_GB2312" w:cs="宋体"/>
                <w:color w:val="auto"/>
                <w:sz w:val="24"/>
                <w:szCs w:val="22"/>
                <w:lang w:val="en-US" w:bidi="zh-CN"/>
              </w:rPr>
            </w:pPr>
            <w:r>
              <w:rPr>
                <w:rFonts w:hint="eastAsia" w:ascii="仿宋_GB2312" w:eastAsia="仿宋_GB2312"/>
                <w:sz w:val="24"/>
                <w:szCs w:val="22"/>
              </w:rPr>
              <w:t>昆明理工大学津桥学院的投资主体是云南康旅集团，学院与云南康旅集团旗下公司开展共建现代产业学院有其他民办高校不可比拟的优势，学校将坚持以学生为中心，贯彻产出导向的育人理念，落实持续改进的质量意识，将津桥学院康旅现代产业学院建设成为云南样板、民办高校案例。</w:t>
            </w:r>
            <w:r>
              <w:rPr>
                <w:rFonts w:hint="eastAsia" w:ascii="仿宋_GB2312" w:eastAsia="仿宋_GB2312"/>
                <w:b/>
                <w:sz w:val="24"/>
                <w:szCs w:val="22"/>
              </w:rPr>
              <w:t>一是探索分段培养制度</w:t>
            </w:r>
            <w:r>
              <w:rPr>
                <w:rFonts w:hint="eastAsia" w:ascii="仿宋_GB2312" w:eastAsia="仿宋_GB2312"/>
                <w:sz w:val="24"/>
                <w:szCs w:val="22"/>
              </w:rPr>
              <w:t>，即一二年级基础课程教学以学校为基础和主体，主要在学校开展教学活动，三四年级以专业课程及实践实习课程以企业为基础和主体，主要在相关企业开展教学和实践活动。</w:t>
            </w:r>
            <w:r>
              <w:rPr>
                <w:rFonts w:hint="eastAsia" w:ascii="仿宋_GB2312" w:eastAsia="仿宋_GB2312"/>
                <w:b/>
                <w:sz w:val="24"/>
                <w:szCs w:val="22"/>
              </w:rPr>
              <w:t>二是探索课程建设新机制</w:t>
            </w:r>
            <w:r>
              <w:rPr>
                <w:rFonts w:hint="eastAsia" w:ascii="仿宋_GB2312" w:eastAsia="仿宋_GB2312"/>
                <w:sz w:val="24"/>
                <w:szCs w:val="22"/>
              </w:rPr>
              <w:t>，基础课程建设充分吸纳校内师资、省内高校优秀教师和企业教师共建，建设一批坚持产出导向的民办高校基础课程。专业课程建设以康养集团旗下企业专家为主，打造课程负责人“双师制”即“企业专业+学校教师”的模式共建课程，在满足国家专业培养标准的基础上，专业课程教学内容充分融入区域行业企业在食品营养与</w:t>
            </w:r>
            <w:r>
              <w:rPr>
                <w:rFonts w:hint="eastAsia" w:ascii="仿宋_GB2312" w:eastAsia="仿宋_GB2312"/>
                <w:color w:val="auto"/>
                <w:sz w:val="24"/>
                <w:szCs w:val="22"/>
              </w:rPr>
              <w:t>健康的研究成果、实践成果，打造基于应用的食品营养与健康课程体系。</w:t>
            </w:r>
            <w:r>
              <w:rPr>
                <w:rFonts w:hint="eastAsia" w:ascii="仿宋_GB2312" w:eastAsia="仿宋_GB2312"/>
                <w:b/>
                <w:color w:val="auto"/>
                <w:sz w:val="24"/>
                <w:szCs w:val="22"/>
              </w:rPr>
              <w:t>三是构建产业学院教学新模式，</w:t>
            </w:r>
            <w:r>
              <w:rPr>
                <w:rFonts w:hint="eastAsia" w:ascii="仿宋_GB2312" w:eastAsia="仿宋_GB2312"/>
                <w:color w:val="auto"/>
                <w:sz w:val="24"/>
                <w:szCs w:val="22"/>
              </w:rPr>
              <w:t>以学生应用能力形成为导向，大部门专业课程实行现场</w:t>
            </w:r>
            <w:r>
              <w:rPr>
                <w:rFonts w:hint="eastAsia" w:ascii="仿宋_GB2312" w:hAnsi="宋体" w:eastAsia="仿宋_GB2312" w:cs="宋体"/>
                <w:color w:val="auto"/>
                <w:sz w:val="24"/>
                <w:szCs w:val="22"/>
                <w:lang w:bidi="zh-CN"/>
              </w:rPr>
              <w:t>进启发式、实验室探究式等教学方法改革和合作式，采取任务式、项目式、实操教学等培养模式综合改革，让学生课堂作业来源于生产现场，现场教学集聚理论教学与实践教学为一体，毕业论文毕业设计选题来源于企业生产一线，确保现代产业学院毕业生符合社会需求。</w:t>
            </w:r>
            <w:r>
              <w:rPr>
                <w:rFonts w:hint="eastAsia" w:ascii="仿宋_GB2312" w:hAnsi="宋体" w:eastAsia="仿宋_GB2312" w:cs="宋体"/>
                <w:b/>
                <w:bCs/>
                <w:color w:val="auto"/>
                <w:sz w:val="24"/>
                <w:szCs w:val="22"/>
                <w:lang w:val="en-US" w:bidi="zh-CN"/>
              </w:rPr>
              <w:t>四是不断完善融资渠道。</w:t>
            </w:r>
            <w:r>
              <w:rPr>
                <w:rFonts w:hint="eastAsia" w:ascii="仿宋_GB2312" w:hAnsi="宋体" w:eastAsia="仿宋_GB2312" w:cs="宋体"/>
                <w:color w:val="auto"/>
                <w:sz w:val="24"/>
                <w:szCs w:val="22"/>
                <w:lang w:val="en-US" w:bidi="zh-CN"/>
              </w:rPr>
              <w:t>通过自筹、社会共建、校友捐助等多种形式，筹措专业建设经费，确保生均年教学日常支出在1500元以上，加强对食品营养与健康专业教学经费投入。</w:t>
            </w:r>
          </w:p>
          <w:p>
            <w:pPr>
              <w:keepNext w:val="0"/>
              <w:keepLines w:val="0"/>
              <w:widowControl w:val="0"/>
              <w:numPr>
                <w:ilvl w:val="0"/>
                <w:numId w:val="0"/>
              </w:numPr>
              <w:suppressLineNumbers w:val="0"/>
              <w:spacing w:before="0" w:beforeAutospacing="0" w:after="0" w:afterAutospacing="0" w:line="360" w:lineRule="auto"/>
              <w:ind w:left="420" w:leftChars="200" w:right="0" w:rightChars="0"/>
              <w:jc w:val="left"/>
              <w:rPr>
                <w:rFonts w:hint="default" w:ascii="仿宋_GB2312" w:hAnsi="宋体" w:eastAsia="仿宋_GB2312" w:cs="宋体"/>
                <w:b/>
                <w:bCs/>
                <w:color w:val="auto"/>
                <w:sz w:val="24"/>
                <w:szCs w:val="22"/>
                <w:lang w:val="en-US" w:bidi="zh-CN"/>
              </w:rPr>
            </w:pPr>
            <w:r>
              <w:rPr>
                <w:rFonts w:hint="eastAsia" w:ascii="仿宋_GB2312" w:hAnsi="宋体" w:eastAsia="仿宋_GB2312" w:cs="宋体"/>
                <w:b/>
                <w:bCs/>
                <w:color w:val="auto"/>
                <w:sz w:val="24"/>
                <w:szCs w:val="22"/>
                <w:lang w:val="en-US" w:bidi="zh-CN"/>
              </w:rPr>
              <w:t>五、</w:t>
            </w:r>
            <w:r>
              <w:rPr>
                <w:rFonts w:hint="default" w:ascii="仿宋_GB2312" w:hAnsi="宋体" w:eastAsia="仿宋_GB2312" w:cs="宋体"/>
                <w:b/>
                <w:bCs/>
                <w:color w:val="auto"/>
                <w:sz w:val="24"/>
                <w:szCs w:val="22"/>
                <w:lang w:val="en-US" w:bidi="zh-CN"/>
              </w:rPr>
              <w:t>人才需求情况</w:t>
            </w:r>
          </w:p>
          <w:p>
            <w:pPr>
              <w:keepNext w:val="0"/>
              <w:keepLines w:val="0"/>
              <w:widowControl w:val="0"/>
              <w:numPr>
                <w:ilvl w:val="0"/>
                <w:numId w:val="0"/>
              </w:numPr>
              <w:suppressLineNumbers w:val="0"/>
              <w:spacing w:before="0" w:beforeAutospacing="0" w:after="0" w:afterAutospacing="0" w:line="360" w:lineRule="auto"/>
              <w:ind w:left="0" w:right="0" w:rightChars="0" w:firstLine="480" w:firstLineChars="200"/>
              <w:jc w:val="left"/>
              <w:rPr>
                <w:rFonts w:hint="default" w:ascii="仿宋_GB2312" w:hAnsi="宋体" w:eastAsia="仿宋_GB2312" w:cs="宋体"/>
                <w:b w:val="0"/>
                <w:bCs w:val="0"/>
                <w:color w:val="auto"/>
                <w:sz w:val="24"/>
                <w:szCs w:val="22"/>
                <w:lang w:val="en-US" w:bidi="zh-CN"/>
              </w:rPr>
            </w:pPr>
            <w:r>
              <w:rPr>
                <w:rFonts w:hint="eastAsia" w:ascii="仿宋_GB2312" w:hAnsi="宋体" w:eastAsia="仿宋_GB2312" w:cs="宋体"/>
                <w:b w:val="0"/>
                <w:bCs w:val="0"/>
                <w:color w:val="auto"/>
                <w:sz w:val="24"/>
                <w:szCs w:val="22"/>
                <w:lang w:val="en-US" w:bidi="zh-CN"/>
              </w:rPr>
              <w:t>（一）</w:t>
            </w:r>
            <w:r>
              <w:rPr>
                <w:rFonts w:hint="default" w:ascii="仿宋_GB2312" w:hAnsi="宋体" w:eastAsia="仿宋_GB2312" w:cs="宋体"/>
                <w:b w:val="0"/>
                <w:bCs w:val="0"/>
                <w:color w:val="auto"/>
                <w:sz w:val="24"/>
                <w:szCs w:val="22"/>
                <w:lang w:val="en-US" w:bidi="zh-CN"/>
              </w:rPr>
              <w:t>食品营养与健康专业基本情况</w:t>
            </w:r>
          </w:p>
          <w:p>
            <w:pPr>
              <w:keepNext w:val="0"/>
              <w:keepLines w:val="0"/>
              <w:widowControl w:val="0"/>
              <w:numPr>
                <w:ilvl w:val="0"/>
                <w:numId w:val="0"/>
              </w:numPr>
              <w:suppressLineNumbers w:val="0"/>
              <w:spacing w:before="0" w:beforeAutospacing="0" w:after="0" w:afterAutospacing="0" w:line="360" w:lineRule="auto"/>
              <w:ind w:left="0" w:right="0" w:rightChars="0" w:firstLine="480" w:firstLineChars="200"/>
              <w:jc w:val="left"/>
              <w:rPr>
                <w:rFonts w:hint="default" w:ascii="仿宋_GB2312" w:hAnsi="宋体" w:eastAsia="仿宋_GB2312" w:cs="宋体"/>
                <w:b w:val="0"/>
                <w:bCs w:val="0"/>
                <w:color w:val="auto"/>
                <w:sz w:val="24"/>
                <w:szCs w:val="22"/>
                <w:lang w:val="en-US" w:bidi="zh-CN"/>
              </w:rPr>
            </w:pPr>
            <w:r>
              <w:rPr>
                <w:rFonts w:hint="default" w:ascii="仿宋_GB2312" w:hAnsi="宋体" w:eastAsia="仿宋_GB2312" w:cs="宋体"/>
                <w:b w:val="0"/>
                <w:bCs w:val="0"/>
                <w:color w:val="auto"/>
                <w:sz w:val="24"/>
                <w:szCs w:val="22"/>
                <w:lang w:val="en-US" w:bidi="zh-CN"/>
              </w:rPr>
              <w:t>食品营养与健康是2019年正式纳入普通高等学校本科专业备案目录的新专业，专业培养具备食品营养与健康领域的基本知识和基本技能，掌握化学、工程学和营养健康科学的基础知识和技能，具有食品营养科学研究、健康管理和功能食品生产与开发的技术能力，能在食品加工与流通领域，从事与营养健康相关的科学研究、教育教学、功能食品开发、政策咨询、食品生产及技术管理等方面工作的应用型高级专业人才。目前开班该专业的高校有中国农业大学、天津科技大学、河南农业大学、烟台南山学院、滇西应用技术大学等近20所高校，该专业人才培养整体规模较小，但社会需求潜力较大。</w:t>
            </w:r>
          </w:p>
          <w:p>
            <w:pPr>
              <w:keepNext w:val="0"/>
              <w:keepLines w:val="0"/>
              <w:widowControl w:val="0"/>
              <w:numPr>
                <w:ilvl w:val="0"/>
                <w:numId w:val="0"/>
              </w:numPr>
              <w:suppressLineNumbers w:val="0"/>
              <w:spacing w:before="0" w:beforeAutospacing="0" w:after="0" w:afterAutospacing="0" w:line="360" w:lineRule="auto"/>
              <w:ind w:left="0" w:right="0" w:rightChars="0" w:firstLine="480" w:firstLineChars="200"/>
              <w:jc w:val="left"/>
              <w:rPr>
                <w:rFonts w:hint="default" w:ascii="仿宋_GB2312" w:hAnsi="宋体" w:eastAsia="仿宋_GB2312" w:cs="宋体"/>
                <w:b w:val="0"/>
                <w:bCs w:val="0"/>
                <w:color w:val="auto"/>
                <w:sz w:val="24"/>
                <w:szCs w:val="22"/>
                <w:lang w:val="en-US" w:bidi="zh-CN"/>
              </w:rPr>
            </w:pPr>
            <w:r>
              <w:rPr>
                <w:rFonts w:hint="eastAsia" w:ascii="仿宋_GB2312" w:hAnsi="宋体" w:eastAsia="仿宋_GB2312" w:cs="宋体"/>
                <w:b w:val="0"/>
                <w:bCs w:val="0"/>
                <w:color w:val="auto"/>
                <w:sz w:val="24"/>
                <w:szCs w:val="22"/>
                <w:lang w:val="en-US" w:bidi="zh-CN"/>
              </w:rPr>
              <w:t>（二）</w:t>
            </w:r>
            <w:r>
              <w:rPr>
                <w:rFonts w:hint="default" w:ascii="仿宋_GB2312" w:hAnsi="宋体" w:eastAsia="仿宋_GB2312" w:cs="宋体"/>
                <w:b w:val="0"/>
                <w:bCs w:val="0"/>
                <w:color w:val="auto"/>
                <w:sz w:val="24"/>
                <w:szCs w:val="22"/>
                <w:lang w:val="en-US" w:bidi="zh-CN"/>
              </w:rPr>
              <w:t>对该专业人才需求的调研分析</w:t>
            </w:r>
          </w:p>
          <w:p>
            <w:pPr>
              <w:keepNext w:val="0"/>
              <w:keepLines w:val="0"/>
              <w:widowControl w:val="0"/>
              <w:numPr>
                <w:ilvl w:val="0"/>
                <w:numId w:val="0"/>
              </w:numPr>
              <w:suppressLineNumbers w:val="0"/>
              <w:spacing w:before="0" w:beforeAutospacing="0" w:after="0" w:afterAutospacing="0" w:line="360" w:lineRule="auto"/>
              <w:ind w:left="0" w:right="0" w:rightChars="0" w:firstLine="480" w:firstLineChars="200"/>
              <w:jc w:val="left"/>
              <w:rPr>
                <w:rFonts w:hint="default" w:ascii="仿宋_GB2312" w:hAnsi="宋体" w:eastAsia="仿宋_GB2312" w:cs="宋体"/>
                <w:b w:val="0"/>
                <w:bCs w:val="0"/>
                <w:color w:val="auto"/>
                <w:sz w:val="24"/>
                <w:szCs w:val="22"/>
                <w:lang w:val="en-US" w:bidi="zh-CN"/>
              </w:rPr>
            </w:pPr>
            <w:r>
              <w:rPr>
                <w:rFonts w:hint="default" w:ascii="仿宋_GB2312" w:hAnsi="宋体" w:eastAsia="仿宋_GB2312" w:cs="宋体"/>
                <w:b w:val="0"/>
                <w:bCs w:val="0"/>
                <w:color w:val="auto"/>
                <w:sz w:val="24"/>
                <w:szCs w:val="22"/>
                <w:lang w:val="en-US" w:bidi="zh-CN"/>
              </w:rPr>
              <w:t>据相关调查发现，2000年以来，我国营养健康产业职位需求量以平均每年10%的速率增长，人才需求单位还呈现出多元化的趋势，如卫生医疗中心、食品监管机构、健康养老机构、幼儿教育、母婴护理机构、以及与营养健康相关的新媒体等。学校对区域发展食品营养与健康专业人才的需求正逐步由隐性需求转化为显性需求，医院、养老机构、幼托机构、大型餐饮、康养旅游等企事业单位对该专业人才需求正逐渐增加。</w:t>
            </w:r>
          </w:p>
          <w:p>
            <w:pPr>
              <w:keepNext w:val="0"/>
              <w:keepLines w:val="0"/>
              <w:suppressLineNumbers w:val="0"/>
              <w:spacing w:before="0" w:beforeAutospacing="0" w:after="0" w:afterAutospacing="0" w:line="360" w:lineRule="auto"/>
              <w:ind w:left="0" w:right="0"/>
              <w:jc w:val="left"/>
              <w:rPr>
                <w:rFonts w:hint="default" w:eastAsia="仿宋_GB2312"/>
                <w:sz w:val="24"/>
              </w:rPr>
            </w:pPr>
            <w:r>
              <w:rPr>
                <w:rFonts w:hint="default" w:eastAsia="仿宋_GB2312"/>
                <w:sz w:val="24"/>
              </w:rPr>
              <w:t xml:space="preserve">                  </w:t>
            </w:r>
          </w:p>
        </w:tc>
      </w:tr>
    </w:tbl>
    <w:p>
      <w:pPr>
        <w:spacing w:line="0" w:lineRule="atLeast"/>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6"/>
        <w:tblW w:w="8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8" w:hRule="atLeast"/>
          <w:jc w:val="center"/>
        </w:trPr>
        <w:tc>
          <w:tcPr>
            <w:tcW w:w="8820"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一、培养目标</w:t>
            </w:r>
          </w:p>
          <w:p>
            <w:pPr>
              <w:pStyle w:val="21"/>
              <w:keepNext w:val="0"/>
              <w:keepLines w:val="0"/>
              <w:suppressLineNumbers w:val="0"/>
              <w:bidi w:val="0"/>
              <w:spacing w:before="0" w:beforeAutospacing="0" w:after="0" w:afterAutospacing="0"/>
              <w:ind w:left="0" w:right="0"/>
              <w:rPr>
                <w:rFonts w:hint="eastAsia" w:ascii="Times New Roman" w:hAnsi="Times New Roman"/>
                <w:lang w:val="en-US" w:eastAsia="zh-CN"/>
              </w:rPr>
            </w:pPr>
            <w:r>
              <w:rPr>
                <w:rFonts w:hint="eastAsia" w:ascii="Times New Roman" w:hAnsi="Times New Roman"/>
                <w:lang w:val="en-US" w:eastAsia="zh-CN"/>
              </w:rPr>
              <w:t>本专业培养德、智、体、美、劳全面发展，具有科研探索精神和科技创新素质，具备化学、工程学和营养健康科学的基础理论知识，掌握现代食品科学与工程基础理论和技能，熟练应用外语及计算机，具有食品营养科学研究、健康管理、功能食品研发与生产的技术能力，胜任与食品营养健康相关的健康管理以及功能食品的技术开发、生产管理、品质保证等工作的高级应用工程技术人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default"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二、培养要求</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eastAsia="zh-CN"/>
              </w:rPr>
              <w:t>（</w:t>
            </w:r>
            <w:r>
              <w:rPr>
                <w:rFonts w:hint="eastAsia" w:ascii="仿宋_GB2312" w:eastAsia="仿宋_GB2312"/>
                <w:spacing w:val="-1"/>
                <w:sz w:val="24"/>
                <w:lang w:val="en-US" w:eastAsia="zh-CN"/>
              </w:rPr>
              <w:t>一</w:t>
            </w:r>
            <w:r>
              <w:rPr>
                <w:rFonts w:hint="eastAsia" w:ascii="仿宋_GB2312" w:eastAsia="仿宋_GB2312"/>
                <w:spacing w:val="-1"/>
                <w:sz w:val="24"/>
                <w:lang w:eastAsia="zh-CN"/>
              </w:rPr>
              <w:t>）</w:t>
            </w:r>
            <w:r>
              <w:rPr>
                <w:rFonts w:hint="eastAsia" w:ascii="仿宋_GB2312" w:eastAsia="仿宋_GB2312"/>
                <w:spacing w:val="-1"/>
                <w:sz w:val="24"/>
                <w:lang w:val="en-US" w:eastAsia="zh-CN"/>
              </w:rPr>
              <w:t>素质</w:t>
            </w:r>
            <w:r>
              <w:rPr>
                <w:rFonts w:hint="eastAsia" w:ascii="仿宋_GB2312" w:eastAsia="仿宋_GB2312"/>
                <w:spacing w:val="-1"/>
                <w:sz w:val="24"/>
              </w:rPr>
              <w:t>要求</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1.</w:t>
            </w:r>
            <w:r>
              <w:rPr>
                <w:rFonts w:hint="eastAsia" w:ascii="仿宋_GB2312" w:eastAsia="仿宋_GB2312"/>
                <w:spacing w:val="-1"/>
                <w:sz w:val="24"/>
              </w:rPr>
              <w:t>坚持四项基本原则，热爱祖国，拥护中国共产党的领导。</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2.</w:t>
            </w:r>
            <w:r>
              <w:rPr>
                <w:rFonts w:hint="eastAsia" w:ascii="仿宋_GB2312" w:eastAsia="仿宋_GB2312"/>
                <w:spacing w:val="-1"/>
                <w:sz w:val="24"/>
              </w:rPr>
              <w:t>掌握马克思主义、毛泽东思想、邓小平理论、“三个代表”重要思想、科学发展观、“三个自信”和“四个全面”的基本原理，具有科学的世界观、方法论和正确的人生观。</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3.</w:t>
            </w:r>
            <w:r>
              <w:rPr>
                <w:rFonts w:hint="eastAsia" w:ascii="仿宋_GB2312" w:eastAsia="仿宋_GB2312"/>
                <w:spacing w:val="-1"/>
                <w:sz w:val="24"/>
              </w:rPr>
              <w:t>遵纪守法，社会责任感强；具有开拓创新、团结协作的精神；</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4.</w:t>
            </w:r>
            <w:r>
              <w:rPr>
                <w:rFonts w:hint="eastAsia" w:ascii="仿宋_GB2312" w:eastAsia="仿宋_GB2312"/>
                <w:spacing w:val="-1"/>
                <w:sz w:val="24"/>
              </w:rPr>
              <w:t>具有良好的人文素养和获取知识的能力；具有健全的心理和健康的体魄。</w:t>
            </w:r>
          </w:p>
          <w:p>
            <w:pPr>
              <w:keepNext w:val="0"/>
              <w:keepLines w:val="0"/>
              <w:suppressLineNumbers w:val="0"/>
              <w:spacing w:before="66" w:beforeAutospacing="0" w:after="0" w:afterAutospacing="0" w:line="242" w:lineRule="auto"/>
              <w:ind w:left="0" w:right="470" w:firstLine="238" w:firstLineChars="100"/>
              <w:rPr>
                <w:rFonts w:hint="eastAsia" w:ascii="仿宋_GB2312" w:eastAsia="仿宋_GB2312"/>
                <w:spacing w:val="-1"/>
                <w:sz w:val="24"/>
              </w:rPr>
            </w:pPr>
            <w:r>
              <w:rPr>
                <w:rFonts w:hint="eastAsia" w:ascii="仿宋_GB2312" w:eastAsia="仿宋_GB2312"/>
                <w:spacing w:val="-1"/>
                <w:sz w:val="24"/>
                <w:lang w:eastAsia="zh-CN"/>
              </w:rPr>
              <w:t>（</w:t>
            </w:r>
            <w:r>
              <w:rPr>
                <w:rFonts w:hint="eastAsia" w:ascii="仿宋_GB2312" w:eastAsia="仿宋_GB2312"/>
                <w:spacing w:val="-1"/>
                <w:sz w:val="24"/>
                <w:lang w:val="en-US" w:eastAsia="zh-CN"/>
              </w:rPr>
              <w:t>二</w:t>
            </w:r>
            <w:r>
              <w:rPr>
                <w:rFonts w:hint="eastAsia" w:ascii="仿宋_GB2312" w:eastAsia="仿宋_GB2312"/>
                <w:spacing w:val="-1"/>
                <w:sz w:val="24"/>
                <w:lang w:eastAsia="zh-CN"/>
              </w:rPr>
              <w:t>）</w:t>
            </w:r>
            <w:r>
              <w:rPr>
                <w:rFonts w:hint="eastAsia" w:ascii="仿宋_GB2312" w:eastAsia="仿宋_GB2312"/>
                <w:spacing w:val="-1"/>
                <w:sz w:val="24"/>
              </w:rPr>
              <w:t>知识要求</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1.</w:t>
            </w:r>
            <w:r>
              <w:rPr>
                <w:rFonts w:hint="eastAsia" w:ascii="仿宋_GB2312" w:eastAsia="仿宋_GB2312"/>
                <w:spacing w:val="-1"/>
                <w:sz w:val="24"/>
              </w:rPr>
              <w:t>掌握必备的思想政治理论、科学文化基础知识和中华优秀传统文化知识。</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2.</w:t>
            </w:r>
            <w:r>
              <w:rPr>
                <w:rFonts w:hint="eastAsia" w:ascii="仿宋_GB2312" w:eastAsia="仿宋_GB2312"/>
                <w:spacing w:val="-1"/>
                <w:sz w:val="24"/>
              </w:rPr>
              <w:t>具有一定的英语基础知识，借助工具书查阅本专业相关英文资料；具备一定的计算机网络技术等信息化方面的知识；具有制定职业发展规划和创新创业的知识。</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3.</w:t>
            </w:r>
            <w:r>
              <w:rPr>
                <w:rFonts w:hint="eastAsia" w:ascii="仿宋_GB2312" w:eastAsia="仿宋_GB2312"/>
                <w:spacing w:val="-1"/>
                <w:sz w:val="24"/>
              </w:rPr>
              <w:t>掌握本专业必需的分析化学、生物化学、微生物学、毒理学、卫生学、免疫学等专业基础知识。</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4.</w:t>
            </w:r>
            <w:r>
              <w:rPr>
                <w:rFonts w:hint="eastAsia" w:ascii="仿宋_GB2312" w:eastAsia="仿宋_GB2312"/>
                <w:spacing w:val="-1"/>
                <w:sz w:val="24"/>
              </w:rPr>
              <w:t>掌握营养学基础知识及人群营养、公共营养、临床营养相关知识，掌握膳食调查、食谱编制、营养教育的基本方法，以及食品卫生检验，食品分析，食品加工等食品营养与健康专业所需的基本理论、基本知识和基本技能。</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5.</w:t>
            </w:r>
            <w:r>
              <w:rPr>
                <w:rFonts w:hint="eastAsia" w:ascii="仿宋_GB2312" w:eastAsia="仿宋_GB2312"/>
                <w:spacing w:val="-1"/>
                <w:sz w:val="24"/>
              </w:rPr>
              <w:t>了解食品营养与健康的理论前沿、国内外营养学领域的发展动态。</w:t>
            </w:r>
          </w:p>
          <w:p>
            <w:pPr>
              <w:keepNext w:val="0"/>
              <w:keepLines w:val="0"/>
              <w:suppressLineNumbers w:val="0"/>
              <w:spacing w:before="66" w:beforeAutospacing="0" w:after="0" w:afterAutospacing="0" w:line="242" w:lineRule="auto"/>
              <w:ind w:left="0" w:right="470"/>
              <w:rPr>
                <w:rFonts w:hint="eastAsia" w:ascii="仿宋_GB2312" w:eastAsia="仿宋_GB2312"/>
                <w:spacing w:val="-1"/>
                <w:sz w:val="24"/>
              </w:rPr>
            </w:pPr>
            <w:r>
              <w:rPr>
                <w:rFonts w:hint="eastAsia" w:ascii="仿宋_GB2312" w:eastAsia="仿宋_GB2312"/>
                <w:spacing w:val="-1"/>
                <w:sz w:val="24"/>
                <w:lang w:eastAsia="zh-CN"/>
              </w:rPr>
              <w:t>（</w:t>
            </w:r>
            <w:r>
              <w:rPr>
                <w:rFonts w:hint="eastAsia" w:ascii="仿宋_GB2312" w:eastAsia="仿宋_GB2312"/>
                <w:spacing w:val="-1"/>
                <w:sz w:val="24"/>
                <w:lang w:val="en-US" w:eastAsia="zh-CN"/>
              </w:rPr>
              <w:t>三</w:t>
            </w:r>
            <w:r>
              <w:rPr>
                <w:rFonts w:hint="eastAsia" w:ascii="仿宋_GB2312" w:eastAsia="仿宋_GB2312"/>
                <w:spacing w:val="-1"/>
                <w:sz w:val="24"/>
                <w:lang w:eastAsia="zh-CN"/>
              </w:rPr>
              <w:t>）</w:t>
            </w:r>
            <w:r>
              <w:rPr>
                <w:rFonts w:hint="eastAsia" w:ascii="仿宋_GB2312" w:eastAsia="仿宋_GB2312"/>
                <w:spacing w:val="-1"/>
                <w:sz w:val="24"/>
              </w:rPr>
              <w:t>能力要求</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1.</w:t>
            </w:r>
            <w:r>
              <w:rPr>
                <w:rFonts w:hint="eastAsia" w:ascii="仿宋_GB2312" w:eastAsia="仿宋_GB2312"/>
                <w:spacing w:val="-1"/>
                <w:sz w:val="24"/>
              </w:rPr>
              <w:t>熟悉营养学基础，公共营养学，能够为大众及特定人群提供饮食、营养及保健食品选择等咨询与指导，能够开展营养教育相关工作。</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2.</w:t>
            </w:r>
            <w:r>
              <w:rPr>
                <w:rFonts w:hint="eastAsia" w:ascii="仿宋_GB2312" w:eastAsia="仿宋_GB2312"/>
                <w:spacing w:val="-1"/>
                <w:sz w:val="24"/>
              </w:rPr>
              <w:t>能够正确开展不同人群的膳食调查、分析评价，并给予指导。</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3.</w:t>
            </w:r>
            <w:r>
              <w:rPr>
                <w:rFonts w:hint="eastAsia" w:ascii="仿宋_GB2312" w:eastAsia="仿宋_GB2312"/>
                <w:spacing w:val="-1"/>
                <w:sz w:val="24"/>
              </w:rPr>
              <w:t>具备食品卫生学、营养学、生理学的基本知识，能够对各类人群在正常和特殊条件下的营养需要及营养水平进行鉴定，能够特定人群编制食谱，并进行营养配餐；</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4.</w:t>
            </w:r>
            <w:r>
              <w:rPr>
                <w:rFonts w:hint="eastAsia" w:ascii="仿宋_GB2312" w:eastAsia="仿宋_GB2312"/>
                <w:spacing w:val="-1"/>
                <w:sz w:val="24"/>
              </w:rPr>
              <w:t>能够进行食物营养价值分析、食物资源开发和食物营养强化的营养设计与鉴定。</w:t>
            </w:r>
          </w:p>
          <w:p>
            <w:pPr>
              <w:keepNext w:val="0"/>
              <w:keepLines w:val="0"/>
              <w:suppressLineNumbers w:val="0"/>
              <w:spacing w:before="66" w:beforeAutospacing="0" w:after="0" w:afterAutospacing="0" w:line="242" w:lineRule="auto"/>
              <w:ind w:left="0" w:right="470" w:firstLine="476" w:firstLineChars="200"/>
              <w:rPr>
                <w:rFonts w:hint="eastAsia" w:ascii="仿宋_GB2312" w:eastAsia="仿宋_GB2312"/>
                <w:spacing w:val="-1"/>
                <w:sz w:val="24"/>
              </w:rPr>
            </w:pPr>
            <w:r>
              <w:rPr>
                <w:rFonts w:hint="eastAsia" w:ascii="仿宋_GB2312" w:eastAsia="仿宋_GB2312"/>
                <w:spacing w:val="-1"/>
                <w:sz w:val="24"/>
                <w:lang w:val="en-US" w:eastAsia="zh-CN"/>
              </w:rPr>
              <w:t>5.</w:t>
            </w:r>
            <w:r>
              <w:rPr>
                <w:rFonts w:hint="eastAsia" w:ascii="仿宋_GB2312" w:eastAsia="仿宋_GB2312"/>
                <w:spacing w:val="-1"/>
                <w:sz w:val="24"/>
              </w:rPr>
              <w:t>掌握文献资料查阅的基本方法及基本技能，具备一定的自主学习和实际工作能力。</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三、学制与授予学位</w:t>
            </w:r>
          </w:p>
          <w:p>
            <w:pPr>
              <w:pStyle w:val="21"/>
              <w:keepNext w:val="0"/>
              <w:keepLines w:val="0"/>
              <w:suppressLineNumbers w:val="0"/>
              <w:bidi w:val="0"/>
              <w:spacing w:before="0" w:beforeAutospacing="0" w:after="0" w:afterAutospacing="0"/>
              <w:ind w:left="0" w:right="0"/>
              <w:rPr>
                <w:rFonts w:hint="eastAsia" w:ascii="Times New Roman" w:hAnsi="Times New Roman"/>
                <w:lang w:val="en-US" w:eastAsia="zh-CN"/>
              </w:rPr>
            </w:pPr>
            <w:r>
              <w:rPr>
                <w:rFonts w:hint="eastAsia" w:ascii="Times New Roman" w:hAnsi="Times New Roman"/>
                <w:lang w:val="en-US" w:eastAsia="zh-CN"/>
              </w:rPr>
              <w:t>1.学制四年；修业年限 3-6年</w:t>
            </w:r>
          </w:p>
          <w:p>
            <w:pPr>
              <w:pStyle w:val="21"/>
              <w:keepNext w:val="0"/>
              <w:keepLines w:val="0"/>
              <w:suppressLineNumbers w:val="0"/>
              <w:bidi w:val="0"/>
              <w:spacing w:before="0" w:beforeAutospacing="0" w:after="0" w:afterAutospacing="0"/>
              <w:ind w:left="0" w:right="0"/>
              <w:rPr>
                <w:rFonts w:hint="eastAsia" w:ascii="Times New Roman" w:hAnsi="Times New Roman"/>
                <w:lang w:val="en-US" w:eastAsia="zh-CN"/>
              </w:rPr>
            </w:pPr>
            <w:r>
              <w:rPr>
                <w:rFonts w:hint="eastAsia" w:ascii="Times New Roman" w:hAnsi="Times New Roman"/>
                <w:lang w:val="en-US" w:eastAsia="zh-CN"/>
              </w:rPr>
              <w:t>2.工学学士</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四、学分要求</w:t>
            </w:r>
          </w:p>
          <w:p>
            <w:pPr>
              <w:pStyle w:val="21"/>
              <w:keepNext w:val="0"/>
              <w:keepLines w:val="0"/>
              <w:suppressLineNumbers w:val="0"/>
              <w:bidi w:val="0"/>
              <w:spacing w:before="0" w:beforeAutospacing="0" w:after="0" w:afterAutospacing="0"/>
              <w:ind w:left="0" w:right="0"/>
              <w:rPr>
                <w:rFonts w:hint="default" w:ascii="Times New Roman" w:hAnsi="Times New Roman"/>
                <w:lang w:val="en-US" w:eastAsia="zh-CN"/>
              </w:rPr>
            </w:pPr>
            <w:r>
              <w:rPr>
                <w:rFonts w:hint="eastAsia" w:ascii="Times New Roman" w:hAnsi="Times New Roman"/>
                <w:lang w:val="en-US" w:eastAsia="zh-CN"/>
              </w:rPr>
              <w:t>最低毕业学分为155学分，共计  3184  学时。</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default" w:ascii="仿宋_GB2312" w:hAnsi="等线" w:eastAsia="仿宋_GB2312" w:cs="仿宋_GB2312"/>
                <w:b/>
                <w:bCs/>
                <w:spacing w:val="-4"/>
                <w:kern w:val="2"/>
                <w:sz w:val="24"/>
                <w:szCs w:val="24"/>
                <w:lang w:val="en-US" w:eastAsia="en-US" w:bidi="ar"/>
              </w:rPr>
              <w:t>五、</w:t>
            </w:r>
            <w:r>
              <w:rPr>
                <w:rFonts w:hint="eastAsia" w:ascii="仿宋_GB2312" w:hAnsi="等线" w:eastAsia="仿宋_GB2312" w:cs="仿宋_GB2312"/>
                <w:b/>
                <w:bCs/>
                <w:spacing w:val="-4"/>
                <w:kern w:val="2"/>
                <w:sz w:val="24"/>
                <w:szCs w:val="24"/>
                <w:lang w:val="en-US" w:eastAsia="zh-CN" w:bidi="ar"/>
              </w:rPr>
              <w:t>课程结构比例表</w:t>
            </w:r>
          </w:p>
          <w:p>
            <w:pPr>
              <w:keepNext w:val="0"/>
              <w:keepLines w:val="0"/>
              <w:widowControl w:val="0"/>
              <w:suppressLineNumbers w:val="0"/>
              <w:spacing w:before="0" w:beforeAutospacing="0" w:after="0" w:afterAutospacing="0" w:line="156" w:lineRule="exact"/>
              <w:ind w:left="0" w:right="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 </w:t>
            </w:r>
          </w:p>
          <w:tbl>
            <w:tblPr>
              <w:tblStyle w:val="14"/>
              <w:tblW w:w="8137"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707"/>
              <w:gridCol w:w="2074"/>
              <w:gridCol w:w="72"/>
              <w:gridCol w:w="981"/>
              <w:gridCol w:w="1116"/>
              <w:gridCol w:w="1633"/>
              <w:gridCol w:w="1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44" w:hRule="atLeast"/>
              </w:trPr>
              <w:tc>
                <w:tcPr>
                  <w:tcW w:w="707"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体系</w:t>
                  </w:r>
                </w:p>
              </w:tc>
              <w:tc>
                <w:tcPr>
                  <w:tcW w:w="3127" w:type="dxa"/>
                  <w:gridSpan w:val="3"/>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4"/>
                      <w:kern w:val="0"/>
                      <w:sz w:val="18"/>
                      <w:szCs w:val="18"/>
                      <w:vertAlign w:val="baseline"/>
                      <w:lang w:val="en-US" w:eastAsia="en-US" w:bidi="ar"/>
                    </w:rPr>
                    <w:t>模</w:t>
                  </w:r>
                  <w:r>
                    <w:rPr>
                      <w:rFonts w:hint="eastAsia" w:ascii="Times New Roman" w:hAnsi="Times New Roman" w:eastAsia="仿宋_GB2312" w:cs="宋体"/>
                      <w:b w:val="0"/>
                      <w:color w:val="000000"/>
                      <w:spacing w:val="8"/>
                      <w:kern w:val="0"/>
                      <w:sz w:val="18"/>
                      <w:szCs w:val="18"/>
                      <w:vertAlign w:val="baseline"/>
                      <w:lang w:val="en-US" w:eastAsia="en-US" w:bidi="ar"/>
                    </w:rPr>
                    <w:t xml:space="preserve"> </w:t>
                  </w:r>
                  <w:r>
                    <w:rPr>
                      <w:rFonts w:hint="eastAsia" w:ascii="Times New Roman" w:hAnsi="Times New Roman" w:eastAsia="仿宋_GB2312" w:cs="宋体"/>
                      <w:b w:val="0"/>
                      <w:color w:val="000000"/>
                      <w:spacing w:val="-4"/>
                      <w:kern w:val="0"/>
                      <w:sz w:val="18"/>
                      <w:szCs w:val="18"/>
                      <w:vertAlign w:val="baseline"/>
                      <w:lang w:val="en-US" w:eastAsia="en-US" w:bidi="ar"/>
                    </w:rPr>
                    <w:t>块</w:t>
                  </w:r>
                </w:p>
              </w:tc>
              <w:tc>
                <w:tcPr>
                  <w:tcW w:w="1116"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学分数</w:t>
                  </w:r>
                </w:p>
              </w:tc>
              <w:tc>
                <w:tcPr>
                  <w:tcW w:w="1633"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学时数</w:t>
                  </w:r>
                </w:p>
              </w:tc>
              <w:tc>
                <w:tcPr>
                  <w:tcW w:w="1554"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实验实践学时</w:t>
                  </w:r>
                  <w:r>
                    <w:rPr>
                      <w:rFonts w:hint="eastAsia" w:ascii="Times New Roman" w:hAnsi="Times New Roman" w:eastAsia="仿宋_GB2312" w:cs="宋体"/>
                      <w:b w:val="0"/>
                      <w:color w:val="000000"/>
                      <w:spacing w:val="-7"/>
                      <w:kern w:val="0"/>
                      <w:sz w:val="18"/>
                      <w:szCs w:val="18"/>
                      <w:vertAlign w:val="baseline"/>
                      <w:lang w:val="en-US" w:eastAsia="en-US" w:bidi="ar"/>
                    </w:rPr>
                    <w:t>占总学时比</w:t>
                  </w:r>
                  <w:r>
                    <w:rPr>
                      <w:rFonts w:hint="eastAsia" w:ascii="Times New Roman" w:hAnsi="Times New Roman" w:eastAsia="仿宋_GB2312" w:cs="宋体"/>
                      <w:b w:val="0"/>
                      <w:color w:val="000000"/>
                      <w:spacing w:val="-4"/>
                      <w:kern w:val="0"/>
                      <w:sz w:val="18"/>
                      <w:szCs w:val="18"/>
                      <w:vertAlign w:val="baseline"/>
                      <w:lang w:val="en-US" w:eastAsia="en-US" w:bidi="ar"/>
                    </w:rPr>
                    <w:t>（</w:t>
                  </w:r>
                  <w:r>
                    <w:rPr>
                      <w:rFonts w:hint="default" w:ascii="Times New Roman" w:hAnsi="Times New Roman" w:eastAsia="仿宋_GB2312" w:cs="Times New Roman"/>
                      <w:b w:val="0"/>
                      <w:bCs/>
                      <w:color w:val="000000"/>
                      <w:spacing w:val="-4"/>
                      <w:kern w:val="0"/>
                      <w:sz w:val="18"/>
                      <w:szCs w:val="18"/>
                      <w:vertAlign w:val="baseline"/>
                      <w:lang w:val="en-US" w:eastAsia="en-US" w:bidi="ar"/>
                    </w:rPr>
                    <w:t>%</w:t>
                  </w:r>
                  <w:r>
                    <w:rPr>
                      <w:rFonts w:hint="eastAsia" w:ascii="Times New Roman" w:hAnsi="Times New Roman" w:eastAsia="仿宋_GB2312" w:cs="宋体"/>
                      <w:b w:val="0"/>
                      <w:color w:val="000000"/>
                      <w:spacing w:val="-4"/>
                      <w:kern w:val="0"/>
                      <w:sz w:val="18"/>
                      <w:szCs w:val="18"/>
                      <w:vertAlign w:val="baseline"/>
                      <w:lang w:val="en-US" w:eastAsia="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9" w:hRule="atLeast"/>
              </w:trPr>
              <w:tc>
                <w:tcPr>
                  <w:tcW w:w="707" w:type="dxa"/>
                  <w:vMerge w:val="restart"/>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21"/>
                      <w:lang w:eastAsia="en-US"/>
                    </w:rPr>
                  </w:pPr>
                  <w:r>
                    <w:rPr>
                      <w:rFonts w:hint="eastAsia" w:ascii="Times New Roman" w:hAnsi="Times New Roman" w:eastAsia="仿宋_GB2312" w:cs="宋体"/>
                      <w:b w:val="0"/>
                      <w:kern w:val="2"/>
                      <w:sz w:val="18"/>
                      <w:szCs w:val="21"/>
                      <w:lang w:val="en-US" w:eastAsia="en-US" w:bidi="ar"/>
                    </w:rPr>
                    <w:t>理论教学（含实践、实验）</w:t>
                  </w:r>
                </w:p>
              </w:tc>
              <w:tc>
                <w:tcPr>
                  <w:tcW w:w="2074" w:type="dxa"/>
                  <w:vMerge w:val="restart"/>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通识教育课</w:t>
                  </w:r>
                </w:p>
              </w:tc>
              <w:tc>
                <w:tcPr>
                  <w:tcW w:w="1053"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43</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816</w:t>
                  </w:r>
                </w:p>
              </w:tc>
              <w:tc>
                <w:tcPr>
                  <w:tcW w:w="1554" w:type="dxa"/>
                  <w:vMerge w:val="restart"/>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7"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7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1053"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任选</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6</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96</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74"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spacing w:val="-2"/>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学科基础课</w:t>
                  </w:r>
                </w:p>
              </w:tc>
              <w:tc>
                <w:tcPr>
                  <w:tcW w:w="1053"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spacing w:val="-3"/>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16</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288</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74"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专业基础课</w:t>
                  </w:r>
                </w:p>
              </w:tc>
              <w:tc>
                <w:tcPr>
                  <w:tcW w:w="1053"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18</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288</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74" w:type="dxa"/>
                  <w:vMerge w:val="restart"/>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专业课</w:t>
                  </w:r>
                </w:p>
              </w:tc>
              <w:tc>
                <w:tcPr>
                  <w:tcW w:w="1053"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35</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720</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3"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7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1053"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5"/>
                      <w:kern w:val="0"/>
                      <w:sz w:val="18"/>
                      <w:szCs w:val="18"/>
                      <w:vertAlign w:val="baseline"/>
                      <w:lang w:val="en-US" w:eastAsia="en-US" w:bidi="ar"/>
                    </w:rPr>
                    <w:t>选修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16</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256</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7"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3127" w:type="dxa"/>
                  <w:gridSpan w:val="3"/>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小计</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133</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2464</w:t>
                  </w:r>
                </w:p>
              </w:tc>
              <w:tc>
                <w:tcPr>
                  <w:tcW w:w="1554"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436" w:hRule="atLeast"/>
              </w:trPr>
              <w:tc>
                <w:tcPr>
                  <w:tcW w:w="707" w:type="dxa"/>
                  <w:vMerge w:val="restart"/>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exact"/>
                    <w:ind w:left="0" w:right="0"/>
                    <w:jc w:val="center"/>
                    <w:textAlignment w:val="baseline"/>
                    <w:rPr>
                      <w:rFonts w:hint="eastAsia" w:ascii="Times New Roman" w:hAnsi="Times New Roman" w:eastAsia="仿宋_GB2312" w:cs="宋体"/>
                      <w:b w:val="0"/>
                      <w:color w:val="000000"/>
                      <w:spacing w:val="-3"/>
                      <w:kern w:val="0"/>
                      <w:position w:val="4"/>
                      <w:sz w:val="18"/>
                      <w:szCs w:val="18"/>
                      <w:vertAlign w:val="baseline"/>
                      <w:lang w:val="en-US" w:eastAsia="en-US" w:bidi="ar"/>
                    </w:rPr>
                  </w:pPr>
                  <w:r>
                    <w:rPr>
                      <w:rFonts w:hint="eastAsia" w:ascii="Times New Roman" w:hAnsi="Times New Roman" w:eastAsia="仿宋_GB2312" w:cs="宋体"/>
                      <w:b w:val="0"/>
                      <w:color w:val="000000"/>
                      <w:spacing w:val="-3"/>
                      <w:kern w:val="0"/>
                      <w:position w:val="4"/>
                      <w:sz w:val="18"/>
                      <w:szCs w:val="18"/>
                      <w:vertAlign w:val="baseline"/>
                      <w:lang w:val="en-US" w:eastAsia="en-US" w:bidi="ar"/>
                    </w:rPr>
                    <w:t>实践</w:t>
                  </w:r>
                </w:p>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exact"/>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教学</w:t>
                  </w:r>
                </w:p>
              </w:tc>
              <w:tc>
                <w:tcPr>
                  <w:tcW w:w="2146"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社会实践</w:t>
                  </w:r>
                </w:p>
              </w:tc>
              <w:tc>
                <w:tcPr>
                  <w:tcW w:w="981"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w:t>
                  </w:r>
                </w:p>
              </w:tc>
              <w:tc>
                <w:tcPr>
                  <w:tcW w:w="1633"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40</w:t>
                  </w:r>
                </w:p>
              </w:tc>
              <w:tc>
                <w:tcPr>
                  <w:tcW w:w="1554" w:type="dxa"/>
                  <w:vMerge w:val="restart"/>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2"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146"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专业见习</w:t>
                  </w:r>
                </w:p>
              </w:tc>
              <w:tc>
                <w:tcPr>
                  <w:tcW w:w="981"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40</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501"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146"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firstLine="3"/>
                    <w:jc w:val="center"/>
                    <w:textAlignment w:val="baseline"/>
                    <w:rPr>
                      <w:rFonts w:hint="default" w:ascii="Times New Roman" w:hAnsi="Times New Roman" w:eastAsia="仿宋_GB2312" w:cs="Times New Roman"/>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毕业实习与论文（设</w:t>
                  </w:r>
                  <w:r>
                    <w:rPr>
                      <w:rFonts w:hint="eastAsia" w:ascii="Times New Roman" w:hAnsi="Times New Roman" w:eastAsia="仿宋_GB2312" w:cs="宋体"/>
                      <w:b w:val="0"/>
                      <w:color w:val="000000"/>
                      <w:spacing w:val="6"/>
                      <w:kern w:val="0"/>
                      <w:sz w:val="18"/>
                      <w:szCs w:val="18"/>
                      <w:vertAlign w:val="baseline"/>
                      <w:lang w:val="en-US" w:eastAsia="en-US" w:bidi="ar"/>
                    </w:rPr>
                    <w:t xml:space="preserve"> </w:t>
                  </w:r>
                  <w:r>
                    <w:rPr>
                      <w:rFonts w:hint="eastAsia" w:ascii="Times New Roman" w:hAnsi="Times New Roman" w:eastAsia="仿宋_GB2312" w:cs="宋体"/>
                      <w:b w:val="0"/>
                      <w:color w:val="000000"/>
                      <w:spacing w:val="-4"/>
                      <w:kern w:val="0"/>
                      <w:sz w:val="18"/>
                      <w:szCs w:val="18"/>
                      <w:vertAlign w:val="baseline"/>
                      <w:lang w:val="en-US" w:eastAsia="en-US" w:bidi="ar"/>
                    </w:rPr>
                    <w:t>计</w:t>
                  </w:r>
                  <w:r>
                    <w:rPr>
                      <w:rFonts w:hint="default" w:ascii="Times New Roman" w:hAnsi="Times New Roman" w:eastAsia="仿宋_GB2312" w:cs="Times New Roman"/>
                      <w:b w:val="0"/>
                      <w:color w:val="000000"/>
                      <w:spacing w:val="-4"/>
                      <w:kern w:val="0"/>
                      <w:sz w:val="18"/>
                      <w:szCs w:val="18"/>
                      <w:vertAlign w:val="baseline"/>
                      <w:lang w:val="en-US" w:eastAsia="en-US" w:bidi="ar"/>
                    </w:rPr>
                    <w:t>)</w:t>
                  </w:r>
                </w:p>
              </w:tc>
              <w:tc>
                <w:tcPr>
                  <w:tcW w:w="981"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16</w:t>
                  </w:r>
                </w:p>
              </w:tc>
              <w:tc>
                <w:tcPr>
                  <w:tcW w:w="1633"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640</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5" w:hRule="atLeast"/>
              </w:trPr>
              <w:tc>
                <w:tcPr>
                  <w:tcW w:w="707"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3127" w:type="dxa"/>
                  <w:gridSpan w:val="3"/>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小计</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22</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720</w:t>
                  </w:r>
                </w:p>
              </w:tc>
              <w:tc>
                <w:tcPr>
                  <w:tcW w:w="1554"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trPr>
              <w:tc>
                <w:tcPr>
                  <w:tcW w:w="3834" w:type="dxa"/>
                  <w:gridSpan w:val="4"/>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合计</w:t>
                  </w:r>
                </w:p>
              </w:tc>
              <w:tc>
                <w:tcPr>
                  <w:tcW w:w="1116"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155</w:t>
                  </w:r>
                </w:p>
              </w:tc>
              <w:tc>
                <w:tcPr>
                  <w:tcW w:w="1633"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3184</w:t>
                  </w:r>
                </w:p>
              </w:tc>
              <w:tc>
                <w:tcPr>
                  <w:tcW w:w="1554"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43.8</w:t>
                  </w: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4"/>
                <w:szCs w:val="24"/>
              </w:rPr>
            </w:pPr>
            <w:r>
              <w:rPr>
                <w:rFonts w:hint="default" w:ascii="Calibri" w:hAnsi="Calibri" w:eastAsia="宋体" w:cs="Times New Roman"/>
                <w:kern w:val="2"/>
                <w:sz w:val="24"/>
                <w:szCs w:val="24"/>
                <w:lang w:val="en-US" w:eastAsia="zh-CN" w:bidi="ar"/>
              </w:rPr>
              <w:t xml:space="preserve"> </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80" w:firstLineChars="200"/>
              <w:jc w:val="both"/>
              <w:textAlignment w:val="auto"/>
              <w:rPr>
                <w:rFonts w:hint="eastAsia" w:ascii="Times New Roman" w:hAnsi="Times New Roman" w:eastAsia="仿宋_GB2312" w:cs="宋体"/>
                <w:kern w:val="2"/>
                <w:sz w:val="24"/>
                <w:szCs w:val="24"/>
              </w:rPr>
            </w:pPr>
            <w:r>
              <w:rPr>
                <w:rFonts w:hint="eastAsia" w:ascii="Times New Roman" w:hAnsi="Times New Roman" w:eastAsia="仿宋_GB2312" w:cs="宋体"/>
                <w:kern w:val="2"/>
                <w:sz w:val="24"/>
                <w:szCs w:val="24"/>
                <w:lang w:val="en-US" w:eastAsia="zh-CN" w:bidi="ar"/>
              </w:rPr>
              <w:t>实践教1周折算20学时 。通识教育任选课及专业任选课因属选修课程模块 ，实验 学时 未统计 在内。</w:t>
            </w:r>
          </w:p>
          <w:p>
            <w:pPr>
              <w:keepNext w:val="0"/>
              <w:keepLines w:val="0"/>
              <w:suppressLineNumbers w:val="0"/>
              <w:spacing w:before="0" w:beforeAutospacing="0" w:after="0" w:afterAutospacing="0" w:line="0" w:lineRule="atLeast"/>
              <w:ind w:left="0" w:right="0"/>
              <w:jc w:val="center"/>
              <w:rPr>
                <w:rFonts w:hint="default" w:eastAsia="仿宋_GB2312"/>
                <w:sz w:val="32"/>
              </w:rPr>
            </w:pPr>
          </w:p>
          <w:p>
            <w:pPr>
              <w:keepNext w:val="0"/>
              <w:keepLines w:val="0"/>
              <w:suppressLineNumbers w:val="0"/>
              <w:spacing w:before="0" w:beforeAutospacing="0" w:after="0" w:afterAutospacing="0" w:line="0" w:lineRule="atLeast"/>
              <w:ind w:left="0" w:right="0"/>
              <w:jc w:val="both"/>
              <w:rPr>
                <w:rFonts w:hint="default" w:eastAsia="仿宋_GB2312"/>
                <w:b/>
                <w:bCs/>
                <w:sz w:val="24"/>
                <w:szCs w:val="21"/>
                <w:lang w:val="en-US" w:eastAsia="zh-CN"/>
              </w:rPr>
            </w:pPr>
            <w:r>
              <w:rPr>
                <w:rFonts w:hint="eastAsia" w:eastAsia="仿宋_GB2312"/>
                <w:b/>
                <w:bCs/>
                <w:sz w:val="24"/>
                <w:szCs w:val="21"/>
                <w:lang w:val="en-US" w:eastAsia="zh-CN"/>
              </w:rPr>
              <w:t>六、教学进度表</w:t>
            </w:r>
          </w:p>
          <w:tbl>
            <w:tblPr>
              <w:tblStyle w:val="6"/>
              <w:tblW w:w="8606"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59"/>
              <w:gridCol w:w="1320"/>
              <w:gridCol w:w="1691"/>
              <w:gridCol w:w="540"/>
              <w:gridCol w:w="410"/>
              <w:gridCol w:w="477"/>
              <w:gridCol w:w="664"/>
              <w:gridCol w:w="818"/>
              <w:gridCol w:w="963"/>
              <w:gridCol w:w="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40" w:hRule="atLeast"/>
              </w:trPr>
              <w:tc>
                <w:tcPr>
                  <w:tcW w:w="2279" w:type="dxa"/>
                  <w:gridSpan w:val="2"/>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课程类别</w:t>
                  </w:r>
                </w:p>
              </w:tc>
              <w:tc>
                <w:tcPr>
                  <w:tcW w:w="1691"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课程名称</w:t>
                  </w:r>
                </w:p>
              </w:tc>
              <w:tc>
                <w:tcPr>
                  <w:tcW w:w="54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学分</w:t>
                  </w:r>
                </w:p>
              </w:tc>
              <w:tc>
                <w:tcPr>
                  <w:tcW w:w="41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总学时</w:t>
                  </w:r>
                </w:p>
              </w:tc>
              <w:tc>
                <w:tcPr>
                  <w:tcW w:w="1141" w:type="dxa"/>
                  <w:gridSpan w:val="2"/>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学时</w:t>
                  </w:r>
                </w:p>
              </w:tc>
              <w:tc>
                <w:tcPr>
                  <w:tcW w:w="818"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考核方式</w:t>
                  </w:r>
                </w:p>
              </w:tc>
              <w:tc>
                <w:tcPr>
                  <w:tcW w:w="963"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开课学期</w:t>
                  </w:r>
                </w:p>
              </w:tc>
              <w:tc>
                <w:tcPr>
                  <w:tcW w:w="764"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trPr>
              <w:tc>
                <w:tcPr>
                  <w:tcW w:w="2279" w:type="dxa"/>
                  <w:gridSpan w:val="2"/>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54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41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讲授</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实验/实践</w:t>
                  </w:r>
                </w:p>
              </w:tc>
              <w:tc>
                <w:tcPr>
                  <w:tcW w:w="818"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963"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764"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通识课程</w:t>
                  </w:r>
                </w:p>
              </w:tc>
              <w:tc>
                <w:tcPr>
                  <w:tcW w:w="132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通识必修课程</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思想道德修养与法律基础</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中国近现代史纲要</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马克思主义基本原理</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5"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毛泽东思想和中国特色社会主义理论体系</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形势与政策</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56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8</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 xml:space="preserve">1 </w:t>
                  </w:r>
                  <w:r>
                    <w:rPr>
                      <w:rStyle w:val="20"/>
                      <w:rFonts w:hint="eastAsia" w:ascii="Times New Roman" w:hAnsi="Times New Roman" w:eastAsia="仿宋_GB2312" w:cs="宋体"/>
                      <w:b w:val="0"/>
                      <w:i w:val="0"/>
                      <w:iCs w:val="0"/>
                      <w:color w:val="000000"/>
                      <w:kern w:val="2"/>
                      <w:sz w:val="18"/>
                      <w:szCs w:val="16"/>
                      <w:lang w:val="en-US" w:eastAsia="zh-CN" w:bidi="ar"/>
                    </w:rPr>
                    <w:t>～</w:t>
                  </w:r>
                  <w:r>
                    <w:rPr>
                      <w:rFonts w:hint="default" w:ascii="Times New Roman" w:hAnsi="Times New Roman" w:eastAsia="仿宋_GB2312" w:cs="Times New Roman"/>
                      <w:b w:val="0"/>
                      <w:i w:val="0"/>
                      <w:iCs w:val="0"/>
                      <w:color w:val="000000"/>
                      <w:kern w:val="2"/>
                      <w:sz w:val="18"/>
                      <w:szCs w:val="16"/>
                      <w:lang w:val="en-US" w:eastAsia="zh-CN" w:bidi="ar"/>
                    </w:rPr>
                    <w:t>8</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习近平新时代中国特色社会主义思想概论</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大学英语</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10</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192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 xml:space="preserve">1 </w:t>
                  </w:r>
                  <w:r>
                    <w:rPr>
                      <w:rStyle w:val="20"/>
                      <w:rFonts w:hint="eastAsia" w:ascii="Times New Roman" w:hAnsi="Times New Roman" w:eastAsia="仿宋_GB2312" w:cs="宋体"/>
                      <w:b w:val="0"/>
                      <w:i w:val="0"/>
                      <w:iCs w:val="0"/>
                      <w:color w:val="000000"/>
                      <w:kern w:val="2"/>
                      <w:sz w:val="18"/>
                      <w:szCs w:val="16"/>
                      <w:lang w:val="en-US" w:eastAsia="zh-CN" w:bidi="ar"/>
                    </w:rPr>
                    <w:t>～</w:t>
                  </w:r>
                  <w:r>
                    <w:rPr>
                      <w:rFonts w:hint="default" w:ascii="Times New Roman" w:hAnsi="Times New Roman" w:eastAsia="仿宋_GB2312" w:cs="Times New Roman"/>
                      <w:b w:val="0"/>
                      <w:i w:val="0"/>
                      <w:iCs w:val="0"/>
                      <w:color w:val="000000"/>
                      <w:kern w:val="2"/>
                      <w:sz w:val="18"/>
                      <w:szCs w:val="16"/>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大学语文</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信息处理技术</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大学体育</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r>
                    <w:rPr>
                      <w:rStyle w:val="20"/>
                      <w:rFonts w:hint="eastAsia" w:ascii="Times New Roman" w:hAnsi="Times New Roman" w:eastAsia="仿宋_GB2312" w:cs="宋体"/>
                      <w:b w:val="0"/>
                      <w:i w:val="0"/>
                      <w:iCs w:val="0"/>
                      <w:color w:val="000000"/>
                      <w:kern w:val="2"/>
                      <w:sz w:val="18"/>
                      <w:szCs w:val="16"/>
                      <w:lang w:val="en-US" w:eastAsia="zh-CN" w:bidi="ar"/>
                    </w:rPr>
                    <w:t>～</w:t>
                  </w:r>
                  <w:r>
                    <w:rPr>
                      <w:rFonts w:hint="default" w:ascii="Times New Roman" w:hAnsi="Times New Roman" w:eastAsia="仿宋_GB2312" w:cs="Times New Roman"/>
                      <w:b w:val="0"/>
                      <w:i w:val="0"/>
                      <w:iCs w:val="0"/>
                      <w:color w:val="000000"/>
                      <w:kern w:val="2"/>
                      <w:sz w:val="18"/>
                      <w:szCs w:val="16"/>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心理健康教育</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24</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8</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职业生涯规划</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就业指导</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创业基础</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军事理论</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560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256</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通识选修课程</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文学经典与文化传承模块</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764"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每一个模块必修1个学分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艺术创作与审美体验模块</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社会发展与国际动向模块</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哲学思维与自我素养模块</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7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经济管理与法律社会模块</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自然科技与基本技能模块</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    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96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96</w:t>
                  </w: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5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3011" w:type="dxa"/>
                  <w:gridSpan w:val="2"/>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合计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49</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912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256</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专业课程</w:t>
                  </w:r>
                </w:p>
              </w:tc>
              <w:tc>
                <w:tcPr>
                  <w:tcW w:w="132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学科基础必修课</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高等数学A</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线性代数</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普通化学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普通化学实验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0.5</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有机化学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有机化学实验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定量分析化学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定量分析化学实验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0.5</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小计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224</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专业基础必修课</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食品营养与健康导论</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食品标准与法规</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中医营养学基础</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预防医学概论</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2</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基础营养学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3</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食品毒理与卫生学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3</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功能食品学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3</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食品工厂设计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6</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食品机械与设备</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小计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18</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288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288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专业核心课</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食品营养学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食品营养学实验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食品生物化学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食品生物化学实验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1.5</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食品化学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食品化学实验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1.5</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食品微生物学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食品微生物学实验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32</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食品分析</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食品分析实验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食品工艺学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6</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食品工艺学实验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6</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食品工程原理</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食品工程原理实验</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p>
              </w:tc>
              <w:tc>
                <w:tcPr>
                  <w:tcW w:w="1691"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540" w:type="dxa"/>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22"/>
                    </w:rPr>
                  </w:pPr>
                  <w:r>
                    <w:rPr>
                      <w:rFonts w:hint="eastAsia" w:ascii="Times New Roman" w:hAnsi="Times New Roman" w:eastAsia="仿宋_GB2312" w:cs="宋体"/>
                      <w:b w:val="0"/>
                      <w:i w:val="0"/>
                      <w:iCs w:val="0"/>
                      <w:color w:val="000000"/>
                      <w:kern w:val="0"/>
                      <w:sz w:val="18"/>
                      <w:szCs w:val="22"/>
                      <w:lang w:val="en-US" w:eastAsia="zh-CN" w:bidi="ar"/>
                    </w:rPr>
                    <w:t>34</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720</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368</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352</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restart"/>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宋体"/>
                      <w:b w:val="0"/>
                      <w:i w:val="0"/>
                      <w:iCs w:val="0"/>
                      <w:color w:val="000000"/>
                      <w:kern w:val="2"/>
                      <w:sz w:val="18"/>
                      <w:szCs w:val="16"/>
                      <w:lang w:val="en-US" w:eastAsia="zh-CN"/>
                    </w:rPr>
                  </w:pPr>
                  <w:r>
                    <w:rPr>
                      <w:rFonts w:hint="eastAsia" w:eastAsia="仿宋_GB2312" w:cs="宋体"/>
                      <w:b w:val="0"/>
                      <w:i w:val="0"/>
                      <w:iCs w:val="0"/>
                      <w:color w:val="000000"/>
                      <w:kern w:val="2"/>
                      <w:sz w:val="18"/>
                      <w:szCs w:val="16"/>
                      <w:lang w:val="en-US" w:eastAsia="zh-CN"/>
                    </w:rPr>
                    <w:t>专业选修课</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营养生理学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764"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开课学 期任选 2 门课 程，选 修总学 分不少 于 16学分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流行病与卫生统计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食品添加剂</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天然产物提取工艺学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食品感官评定</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营养与食疗</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食品物性学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食品与营养科学研究方法</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运动营养学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疾病的营养防治</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营养流行病学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健康管理学</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食品营养与化学进展</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食品标准与法规</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818"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256</w:t>
                  </w: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3011" w:type="dxa"/>
                  <w:gridSpan w:val="2"/>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合计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85</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1350</w:t>
                  </w:r>
                </w:p>
              </w:tc>
              <w:tc>
                <w:tcPr>
                  <w:tcW w:w="477"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870</w:t>
                  </w: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480</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restart"/>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宋体"/>
                      <w:b w:val="0"/>
                      <w:i w:val="0"/>
                      <w:iCs w:val="0"/>
                      <w:color w:val="000000"/>
                      <w:kern w:val="2"/>
                      <w:sz w:val="18"/>
                      <w:szCs w:val="16"/>
                      <w:lang w:val="en-US" w:eastAsia="zh-CN"/>
                    </w:rPr>
                  </w:pPr>
                  <w:r>
                    <w:rPr>
                      <w:rFonts w:hint="eastAsia" w:ascii="Times New Roman" w:hAnsi="Times New Roman" w:eastAsia="仿宋_GB2312" w:cs="宋体"/>
                      <w:b w:val="0"/>
                      <w:i w:val="0"/>
                      <w:iCs w:val="0"/>
                      <w:color w:val="000000"/>
                      <w:kern w:val="2"/>
                      <w:sz w:val="18"/>
                      <w:szCs w:val="16"/>
                      <w:lang w:val="en-US" w:eastAsia="zh-CN"/>
                    </w:rPr>
                    <w:t>实践课程</w:t>
                  </w:r>
                </w:p>
              </w:tc>
              <w:tc>
                <w:tcPr>
                  <w:tcW w:w="1320" w:type="dxa"/>
                  <w:vMerge w:val="restart"/>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宋体"/>
                      <w:b w:val="0"/>
                      <w:i w:val="0"/>
                      <w:iCs w:val="0"/>
                      <w:color w:val="000000"/>
                      <w:kern w:val="2"/>
                      <w:sz w:val="18"/>
                      <w:szCs w:val="16"/>
                      <w:lang w:val="en-US" w:eastAsia="zh-CN"/>
                    </w:rPr>
                  </w:pPr>
                  <w:r>
                    <w:rPr>
                      <w:rFonts w:hint="eastAsia" w:ascii="Times New Roman" w:hAnsi="Times New Roman" w:eastAsia="仿宋_GB2312" w:cs="宋体"/>
                      <w:b w:val="0"/>
                      <w:i w:val="0"/>
                      <w:iCs w:val="0"/>
                      <w:color w:val="000000"/>
                      <w:kern w:val="2"/>
                      <w:sz w:val="18"/>
                      <w:szCs w:val="16"/>
                      <w:lang w:val="en-US" w:eastAsia="zh-CN"/>
                    </w:rPr>
                    <w:t>社会实践</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军事训练</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劳动教育</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1</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288</w:t>
                  </w: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 ～8</w:t>
                  </w:r>
                </w:p>
              </w:tc>
              <w:tc>
                <w:tcPr>
                  <w:tcW w:w="764"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不计入总学时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入学教育</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0.5</w:t>
                  </w:r>
                </w:p>
              </w:tc>
              <w:tc>
                <w:tcPr>
                  <w:tcW w:w="410"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毕业教育</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0.5</w:t>
                  </w:r>
                </w:p>
              </w:tc>
              <w:tc>
                <w:tcPr>
                  <w:tcW w:w="410"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64"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w:t>
                  </w:r>
                </w:p>
              </w:tc>
              <w:tc>
                <w:tcPr>
                  <w:tcW w:w="7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专业实践</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专业见习</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40</w:t>
                  </w: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40</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2、4</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毕业实习</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10</w:t>
                  </w:r>
                </w:p>
              </w:tc>
              <w:tc>
                <w:tcPr>
                  <w:tcW w:w="410"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640</w:t>
                  </w: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64" w:type="dxa"/>
                  <w:vMerge w:val="restart"/>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640</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7～8</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科研训练</w:t>
                  </w: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毕业论文</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6</w:t>
                  </w:r>
                </w:p>
              </w:tc>
              <w:tc>
                <w:tcPr>
                  <w:tcW w:w="410"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64" w:type="dxa"/>
                  <w:vMerge w:val="continue"/>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color w:val="000000" w:themeColor="text1"/>
                      <w:sz w:val="18"/>
                      <w:szCs w:val="24"/>
                      <w14:textFill>
                        <w14:solidFill>
                          <w14:schemeClr w14:val="tx1"/>
                        </w14:solidFill>
                      </w14:textFill>
                    </w:rPr>
                  </w:pP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p>
              </w:tc>
              <w:tc>
                <w:tcPr>
                  <w:tcW w:w="963"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7～8</w:t>
                  </w: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trPr>
              <w:tc>
                <w:tcPr>
                  <w:tcW w:w="959"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320"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691"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小计</w:t>
                  </w:r>
                </w:p>
              </w:tc>
              <w:tc>
                <w:tcPr>
                  <w:tcW w:w="54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22</w:t>
                  </w:r>
                </w:p>
              </w:tc>
              <w:tc>
                <w:tcPr>
                  <w:tcW w:w="410"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720</w:t>
                  </w:r>
                </w:p>
              </w:tc>
              <w:tc>
                <w:tcPr>
                  <w:tcW w:w="477" w:type="dxa"/>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p>
              </w:tc>
              <w:tc>
                <w:tcPr>
                  <w:tcW w:w="664" w:type="dxa"/>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720</w:t>
                  </w:r>
                </w:p>
              </w:tc>
              <w:tc>
                <w:tcPr>
                  <w:tcW w:w="818"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themeColor="text1"/>
                      <w:kern w:val="2"/>
                      <w:sz w:val="18"/>
                      <w:szCs w:val="16"/>
                      <w14:textFill>
                        <w14:solidFill>
                          <w14:schemeClr w14:val="tx1"/>
                        </w14:solidFill>
                      </w14:textFill>
                    </w:rPr>
                  </w:pPr>
                </w:p>
              </w:tc>
              <w:tc>
                <w:tcPr>
                  <w:tcW w:w="963"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64" w:type="dxa"/>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keepNext w:val="0"/>
              <w:keepLines w:val="0"/>
              <w:suppressLineNumbers w:val="0"/>
              <w:spacing w:before="0" w:beforeAutospacing="0" w:after="0" w:afterAutospacing="0" w:line="0" w:lineRule="atLeast"/>
              <w:ind w:left="0" w:right="0"/>
              <w:jc w:val="center"/>
              <w:rPr>
                <w:rFonts w:hint="default" w:eastAsia="仿宋_GB2312"/>
                <w:sz w:val="32"/>
              </w:rPr>
            </w:pPr>
          </w:p>
          <w:p>
            <w:pPr>
              <w:keepNext w:val="0"/>
              <w:keepLines w:val="0"/>
              <w:suppressLineNumbers w:val="0"/>
              <w:spacing w:before="0" w:beforeAutospacing="0" w:after="0" w:afterAutospacing="0" w:line="0" w:lineRule="atLeast"/>
              <w:ind w:left="0" w:right="0"/>
              <w:jc w:val="center"/>
              <w:rPr>
                <w:rFonts w:hint="default" w:eastAsia="仿宋_GB2312"/>
                <w:sz w:val="32"/>
              </w:rPr>
            </w:pPr>
          </w:p>
          <w:p>
            <w:pPr>
              <w:keepNext w:val="0"/>
              <w:keepLines w:val="0"/>
              <w:suppressLineNumbers w:val="0"/>
              <w:spacing w:before="0" w:beforeAutospacing="0" w:after="0" w:afterAutospacing="0" w:line="0" w:lineRule="atLeast"/>
              <w:ind w:left="0" w:right="0"/>
              <w:jc w:val="center"/>
              <w:rPr>
                <w:rFonts w:hint="default" w:eastAsia="仿宋_GB2312"/>
                <w:sz w:val="32"/>
              </w:rPr>
            </w:pPr>
          </w:p>
          <w:p>
            <w:pPr>
              <w:keepNext w:val="0"/>
              <w:keepLines w:val="0"/>
              <w:suppressLineNumbers w:val="0"/>
              <w:spacing w:before="0" w:beforeAutospacing="0" w:after="0" w:afterAutospacing="0" w:line="0" w:lineRule="atLeast"/>
              <w:ind w:left="0" w:right="0"/>
              <w:jc w:val="center"/>
              <w:rPr>
                <w:rFonts w:hint="default" w:eastAsia="仿宋_GB2312"/>
                <w:sz w:val="32"/>
              </w:rPr>
            </w:pPr>
          </w:p>
        </w:tc>
      </w:tr>
    </w:tbl>
    <w:p>
      <w:pPr>
        <w:spacing w:line="360" w:lineRule="auto"/>
        <w:ind w:firstLine="480" w:firstLineChars="200"/>
        <w:rPr>
          <w:rFonts w:eastAsia="仿宋_GB2312"/>
          <w:sz w:val="24"/>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35"/>
        <w:gridCol w:w="491"/>
        <w:gridCol w:w="547"/>
        <w:gridCol w:w="577"/>
        <w:gridCol w:w="1207"/>
        <w:gridCol w:w="631"/>
        <w:gridCol w:w="365"/>
        <w:gridCol w:w="939"/>
        <w:gridCol w:w="888"/>
        <w:gridCol w:w="888"/>
        <w:gridCol w:w="332"/>
        <w:gridCol w:w="336"/>
        <w:gridCol w:w="518"/>
        <w:gridCol w:w="263"/>
        <w:gridCol w:w="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姓名</w:t>
            </w:r>
          </w:p>
        </w:tc>
        <w:tc>
          <w:tcPr>
            <w:tcW w:w="902"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eastAsia" w:ascii="仿宋_GB2312" w:eastAsia="仿宋_GB2312"/>
                <w:color w:val="auto"/>
                <w:sz w:val="24"/>
              </w:rPr>
              <w:t>王晓琴</w:t>
            </w: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女</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专业技术职务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副教授</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第一学历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1"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1978.03</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最后学历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highlight w:val="none"/>
              </w:rPr>
            </w:pPr>
            <w:r>
              <w:rPr>
                <w:rFonts w:hint="default" w:eastAsia="仿宋_GB2312"/>
                <w:color w:val="auto"/>
                <w:spacing w:val="-6"/>
                <w:sz w:val="24"/>
                <w:highlight w:val="none"/>
              </w:rPr>
              <w:t>第一学历和最后学历</w:t>
            </w:r>
            <w:r>
              <w:rPr>
                <w:rFonts w:hint="default" w:eastAsia="仿宋_GB2312"/>
                <w:color w:val="auto"/>
                <w:spacing w:val="-10"/>
                <w:sz w:val="24"/>
                <w:highlight w:val="none"/>
              </w:rPr>
              <w:t>毕业时间、学校、专业</w:t>
            </w:r>
          </w:p>
        </w:tc>
        <w:tc>
          <w:tcPr>
            <w:tcW w:w="3748" w:type="pct"/>
            <w:gridSpan w:val="11"/>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 xml:space="preserve">2000年6月  </w:t>
            </w:r>
            <w:r>
              <w:rPr>
                <w:rFonts w:hint="eastAsia" w:eastAsia="仿宋_GB2312"/>
                <w:sz w:val="24"/>
              </w:rPr>
              <w:t>西华师范大学</w:t>
            </w:r>
            <w:r>
              <w:rPr>
                <w:rFonts w:hint="eastAsia" w:eastAsia="仿宋_GB2312"/>
                <w:sz w:val="24"/>
                <w:lang w:val="en-US" w:eastAsia="zh-CN"/>
              </w:rPr>
              <w:t xml:space="preserve">  </w:t>
            </w:r>
            <w:r>
              <w:rPr>
                <w:rFonts w:hint="eastAsia" w:eastAsia="仿宋_GB2312"/>
                <w:sz w:val="24"/>
              </w:rPr>
              <w:t>生命科学学院</w:t>
            </w:r>
          </w:p>
          <w:p>
            <w:pPr>
              <w:keepNext w:val="0"/>
              <w:keepLines w:val="0"/>
              <w:suppressLineNumbers w:val="0"/>
              <w:spacing w:before="0" w:beforeAutospacing="0" w:after="0" w:afterAutospacing="0"/>
              <w:ind w:left="0" w:right="0"/>
              <w:jc w:val="left"/>
              <w:rPr>
                <w:rFonts w:hint="default" w:eastAsia="仿宋_GB2312"/>
                <w:sz w:val="24"/>
              </w:rPr>
            </w:pPr>
            <w:r>
              <w:rPr>
                <w:rFonts w:hint="eastAsia" w:eastAsia="仿宋_GB2312"/>
                <w:sz w:val="24"/>
              </w:rPr>
              <w:t>2004年6月</w:t>
            </w:r>
            <w:r>
              <w:rPr>
                <w:rFonts w:hint="eastAsia" w:eastAsia="仿宋_GB2312"/>
                <w:sz w:val="24"/>
                <w:lang w:val="en-US" w:eastAsia="zh-CN"/>
              </w:rPr>
              <w:t xml:space="preserve">  </w:t>
            </w:r>
            <w:r>
              <w:rPr>
                <w:rFonts w:hint="eastAsia" w:eastAsia="仿宋_GB2312"/>
                <w:sz w:val="24"/>
              </w:rPr>
              <w:t>西华师范大学</w:t>
            </w:r>
            <w:r>
              <w:rPr>
                <w:rFonts w:hint="eastAsia" w:eastAsia="仿宋_GB2312"/>
                <w:sz w:val="24"/>
                <w:lang w:val="en-US" w:eastAsia="zh-CN"/>
              </w:rPr>
              <w:t xml:space="preserve">  </w:t>
            </w:r>
            <w:r>
              <w:rPr>
                <w:rFonts w:hint="eastAsia" w:eastAsia="仿宋_GB2312"/>
                <w:sz w:val="24"/>
              </w:rPr>
              <w:t>生命科学学院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主要从事工作与</w:t>
            </w:r>
          </w:p>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研究方向</w:t>
            </w:r>
          </w:p>
        </w:tc>
        <w:tc>
          <w:tcPr>
            <w:tcW w:w="3748" w:type="pct"/>
            <w:gridSpan w:val="11"/>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eastAsia" w:eastAsia="仿宋_GB2312"/>
                <w:sz w:val="24"/>
              </w:rPr>
              <w:t>运动人体科学、运动营养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在国内外重要学术刊物上发表论文共 </w:t>
            </w:r>
            <w:r>
              <w:rPr>
                <w:rFonts w:hint="eastAsia" w:eastAsia="仿宋_GB2312"/>
                <w:sz w:val="24"/>
                <w:lang w:val="en-US" w:eastAsia="zh-CN"/>
              </w:rPr>
              <w:t xml:space="preserve"> 6 </w:t>
            </w:r>
            <w:r>
              <w:rPr>
                <w:rFonts w:hint="default" w:eastAsia="仿宋_GB2312"/>
                <w:sz w:val="24"/>
              </w:rPr>
              <w:t>篇； 出版专著（译著等）</w:t>
            </w:r>
            <w:r>
              <w:rPr>
                <w:rFonts w:hint="eastAsia" w:eastAsia="仿宋_GB2312"/>
                <w:sz w:val="24"/>
                <w:lang w:val="en-US" w:eastAsia="zh-CN"/>
              </w:rPr>
              <w:t xml:space="preserve"> 0 </w:t>
            </w:r>
            <w:r>
              <w:rPr>
                <w:rFonts w:hint="default" w:eastAsia="仿宋_GB2312"/>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获教学科研成果奖共  </w:t>
            </w:r>
            <w:r>
              <w:rPr>
                <w:rFonts w:hint="eastAsia" w:eastAsia="仿宋_GB2312"/>
                <w:sz w:val="24"/>
                <w:lang w:val="en-US" w:eastAsia="zh-CN"/>
              </w:rPr>
              <w:t xml:space="preserve">6 </w:t>
            </w:r>
            <w:r>
              <w:rPr>
                <w:rFonts w:hint="default" w:eastAsia="仿宋_GB2312"/>
                <w:sz w:val="24"/>
              </w:rPr>
              <w:t xml:space="preserve">项；其中：国家级  </w:t>
            </w:r>
            <w:r>
              <w:rPr>
                <w:rFonts w:hint="eastAsia" w:eastAsia="仿宋_GB2312"/>
                <w:sz w:val="24"/>
                <w:lang w:val="en-US" w:eastAsia="zh-CN"/>
              </w:rPr>
              <w:t xml:space="preserve">1 </w:t>
            </w:r>
            <w:r>
              <w:rPr>
                <w:rFonts w:hint="default" w:eastAsia="仿宋_GB2312"/>
                <w:sz w:val="24"/>
              </w:rPr>
              <w:t xml:space="preserve"> 项， 省部级 </w:t>
            </w:r>
            <w:r>
              <w:rPr>
                <w:rFonts w:hint="eastAsia" w:eastAsia="仿宋_GB2312"/>
                <w:sz w:val="24"/>
                <w:lang w:val="en-US" w:eastAsia="zh-CN"/>
              </w:rPr>
              <w:t>5</w:t>
            </w:r>
            <w:r>
              <w:rPr>
                <w:rFonts w:hint="default" w:eastAsia="仿宋_GB2312"/>
                <w:sz w:val="24"/>
              </w:rPr>
              <w:t xml:space="preserve"> </w:t>
            </w:r>
            <w:r>
              <w:rPr>
                <w:rFonts w:hint="eastAsia" w:eastAsia="仿宋_GB2312"/>
                <w:sz w:val="24"/>
                <w:lang w:val="en-US" w:eastAsia="zh-CN"/>
              </w:rPr>
              <w:t xml:space="preserve">  </w:t>
            </w:r>
            <w:r>
              <w:rPr>
                <w:rFonts w:hint="default" w:eastAsia="仿宋_GB2312"/>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目前承担教学科研项目共 </w:t>
            </w:r>
            <w:r>
              <w:rPr>
                <w:rFonts w:hint="eastAsia" w:eastAsia="仿宋_GB2312"/>
                <w:sz w:val="24"/>
                <w:lang w:val="en-US" w:eastAsia="zh-CN"/>
              </w:rPr>
              <w:t>10</w:t>
            </w:r>
            <w:r>
              <w:rPr>
                <w:rFonts w:hint="default" w:eastAsia="仿宋_GB2312"/>
                <w:sz w:val="24"/>
              </w:rPr>
              <w:t>项；其中：国家级项目</w:t>
            </w:r>
            <w:r>
              <w:rPr>
                <w:rFonts w:hint="eastAsia" w:eastAsia="仿宋_GB2312"/>
                <w:sz w:val="24"/>
                <w:lang w:val="en-US" w:eastAsia="zh-CN"/>
              </w:rPr>
              <w:t xml:space="preserve"> </w:t>
            </w:r>
            <w:r>
              <w:rPr>
                <w:rFonts w:hint="default" w:eastAsia="仿宋_GB2312"/>
                <w:sz w:val="24"/>
              </w:rPr>
              <w:t xml:space="preserve"> 项，省部级项目</w:t>
            </w:r>
            <w:r>
              <w:rPr>
                <w:rFonts w:hint="eastAsia" w:eastAsia="仿宋_GB2312"/>
                <w:sz w:val="24"/>
                <w:lang w:val="en-US" w:eastAsia="zh-CN"/>
              </w:rPr>
              <w:t>3</w:t>
            </w:r>
            <w:r>
              <w:rPr>
                <w:rFonts w:hint="default"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近三年拥有教学科研经费共  </w:t>
            </w:r>
            <w:r>
              <w:rPr>
                <w:rFonts w:hint="eastAsia" w:eastAsia="仿宋_GB2312"/>
                <w:sz w:val="24"/>
                <w:lang w:val="en-US" w:eastAsia="zh-CN"/>
              </w:rPr>
              <w:t>8.5</w:t>
            </w:r>
            <w:r>
              <w:rPr>
                <w:rFonts w:hint="default" w:eastAsia="仿宋_GB2312"/>
                <w:sz w:val="24"/>
              </w:rPr>
              <w:t xml:space="preserve">  万元， 年均  </w:t>
            </w:r>
            <w:r>
              <w:rPr>
                <w:rFonts w:hint="eastAsia" w:eastAsia="仿宋_GB2312"/>
                <w:sz w:val="24"/>
                <w:lang w:val="en-US" w:eastAsia="zh-CN"/>
              </w:rPr>
              <w:t>2.8</w:t>
            </w:r>
            <w:r>
              <w:rPr>
                <w:rFonts w:hint="default"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近三年给本科生授课（理论教学）共 </w:t>
            </w:r>
            <w:r>
              <w:rPr>
                <w:rFonts w:hint="eastAsia" w:eastAsia="仿宋_GB2312"/>
                <w:sz w:val="24"/>
                <w:lang w:val="en-US" w:eastAsia="zh-CN"/>
              </w:rPr>
              <w:t>1612</w:t>
            </w:r>
            <w:r>
              <w:rPr>
                <w:rFonts w:hint="default" w:eastAsia="仿宋_GB2312"/>
                <w:sz w:val="24"/>
              </w:rPr>
              <w:t xml:space="preserve"> 学时；指导本科毕业设计共 </w:t>
            </w:r>
            <w:r>
              <w:rPr>
                <w:rFonts w:hint="eastAsia" w:eastAsia="仿宋_GB2312"/>
                <w:sz w:val="24"/>
                <w:lang w:val="en-US" w:eastAsia="zh-CN"/>
              </w:rPr>
              <w:t>23</w:t>
            </w:r>
            <w:r>
              <w:rPr>
                <w:rFonts w:hint="default"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2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体育教学信息化视域下高校体育专业学生信息素养提升路径——以云南师范大学为例</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 xml:space="preserve">普刊 </w:t>
            </w:r>
            <w:r>
              <w:rPr>
                <w:rFonts w:hint="default" w:eastAsia="仿宋_GB2312"/>
                <w:sz w:val="24"/>
              </w:rPr>
              <w:t>当代体育科技</w:t>
            </w:r>
            <w:r>
              <w:rPr>
                <w:rFonts w:hint="eastAsia" w:eastAsia="仿宋_GB2312"/>
                <w:sz w:val="24"/>
                <w:lang w:val="en-US" w:eastAsia="zh-CN"/>
              </w:rPr>
              <w:t xml:space="preserve">  </w:t>
            </w:r>
            <w:r>
              <w:rPr>
                <w:rFonts w:hint="default" w:eastAsia="仿宋_GB2312"/>
                <w:sz w:val="24"/>
              </w:rPr>
              <w:t>2022</w:t>
            </w:r>
            <w:r>
              <w:rPr>
                <w:rFonts w:hint="eastAsia" w:eastAsia="仿宋_GB2312"/>
                <w:sz w:val="24"/>
                <w:lang w:val="en-US" w:eastAsia="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1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ascii="仿宋_GB2312" w:hAnsi="宋体" w:eastAsia="仿宋_GB2312" w:cs="宋体"/>
                <w:kern w:val="0"/>
                <w:sz w:val="24"/>
                <w:szCs w:val="20"/>
                <w:lang w:val="zh-CN" w:bidi="zh-CN"/>
              </w:rPr>
              <w:t>PBL+TBL教学模式在运动解剖学实验教学中的运用</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 xml:space="preserve">普刊 </w:t>
            </w:r>
            <w:r>
              <w:rPr>
                <w:rFonts w:hint="default" w:eastAsia="仿宋_GB2312"/>
                <w:sz w:val="24"/>
              </w:rPr>
              <w:t>当代体育科技</w:t>
            </w:r>
            <w:r>
              <w:rPr>
                <w:rFonts w:hint="eastAsia" w:eastAsia="仿宋_GB2312"/>
                <w:sz w:val="24"/>
                <w:lang w:val="en-US" w:eastAsia="zh-CN"/>
              </w:rPr>
              <w:t xml:space="preserve">  </w:t>
            </w:r>
            <w:r>
              <w:rPr>
                <w:rFonts w:hint="default" w:eastAsia="仿宋_GB2312"/>
                <w:sz w:val="24"/>
              </w:rPr>
              <w:t>2022</w:t>
            </w:r>
            <w:r>
              <w:rPr>
                <w:rFonts w:hint="eastAsia" w:eastAsia="仿宋_GB2312"/>
                <w:sz w:val="24"/>
                <w:lang w:val="en-US" w:eastAsia="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8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ascii="仿宋_GB2312" w:hAnsi="宋体" w:eastAsia="仿宋_GB2312" w:cs="宋体"/>
                <w:kern w:val="0"/>
                <w:sz w:val="24"/>
                <w:szCs w:val="20"/>
                <w:lang w:val="zh-CN" w:bidi="zh-CN"/>
              </w:rPr>
              <w:t>对体育教师资格考试的分析与建议——以体育与健康学科知识与教学能力(高级中学)为例</w:t>
            </w: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 xml:space="preserve">普刊 </w:t>
            </w:r>
            <w:r>
              <w:rPr>
                <w:rFonts w:hint="default" w:eastAsia="仿宋_GB2312"/>
                <w:sz w:val="24"/>
              </w:rPr>
              <w:t>当代体育科技</w:t>
            </w:r>
            <w:r>
              <w:rPr>
                <w:rFonts w:hint="eastAsia" w:eastAsia="仿宋_GB2312"/>
                <w:sz w:val="24"/>
                <w:lang w:val="en-US" w:eastAsia="zh-CN"/>
              </w:rPr>
              <w:t xml:space="preserve">  </w:t>
            </w:r>
            <w:r>
              <w:rPr>
                <w:rFonts w:hint="default" w:eastAsia="仿宋_GB2312"/>
                <w:sz w:val="24"/>
              </w:rPr>
              <w:t>202</w:t>
            </w:r>
            <w:r>
              <w:rPr>
                <w:rFonts w:hint="eastAsia" w:eastAsia="仿宋_GB2312"/>
                <w:sz w:val="24"/>
                <w:lang w:val="en-US" w:eastAsia="zh-CN"/>
              </w:rPr>
              <w:t>0年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云南师范大学体育专业学生教师资格证考试现状调查</w:t>
            </w: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lang w:val="en-US"/>
              </w:rPr>
            </w:pPr>
            <w:r>
              <w:rPr>
                <w:rFonts w:hint="eastAsia" w:ascii="仿宋_GB2312" w:hAnsi="宋体" w:eastAsia="仿宋_GB2312" w:cs="宋体"/>
                <w:kern w:val="0"/>
                <w:sz w:val="24"/>
                <w:szCs w:val="20"/>
                <w:lang w:val="en-US" w:bidi="zh-CN"/>
              </w:rPr>
              <w:t xml:space="preserve">普刊 </w:t>
            </w:r>
            <w:r>
              <w:rPr>
                <w:rFonts w:hint="default" w:ascii="仿宋_GB2312" w:hAnsi="宋体" w:eastAsia="仿宋_GB2312" w:cs="宋体"/>
                <w:kern w:val="0"/>
                <w:sz w:val="24"/>
                <w:szCs w:val="20"/>
                <w:lang w:val="zh-CN" w:bidi="zh-CN"/>
              </w:rPr>
              <w:t>体育世界(学术版)</w:t>
            </w:r>
            <w:r>
              <w:rPr>
                <w:rFonts w:hint="eastAsia" w:ascii="仿宋_GB2312" w:hAnsi="宋体" w:eastAsia="仿宋_GB2312" w:cs="宋体"/>
                <w:kern w:val="0"/>
                <w:sz w:val="24"/>
                <w:szCs w:val="20"/>
                <w:lang w:val="en-US" w:bidi="zh-CN"/>
              </w:rPr>
              <w:t xml:space="preserve"> 2019年</w:t>
            </w:r>
          </w:p>
        </w:tc>
        <w:tc>
          <w:tcPr>
            <w:tcW w:w="964" w:type="pct"/>
            <w:gridSpan w:val="3"/>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1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有氧运动对空间工作记忆的影响及其作用机制</w:t>
            </w: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云南省教育厅</w:t>
            </w: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2010.5—2012.6</w:t>
            </w: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10万</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01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运动锻炼及生活习惯与帕金森症的关系 </w:t>
            </w: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云南省教育厅</w:t>
            </w: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201</w:t>
            </w:r>
            <w:r>
              <w:rPr>
                <w:rFonts w:hint="eastAsia" w:eastAsia="仿宋_GB2312"/>
                <w:sz w:val="24"/>
                <w:lang w:val="en-US" w:eastAsia="zh-CN"/>
              </w:rPr>
              <w:t>1</w:t>
            </w:r>
            <w:r>
              <w:rPr>
                <w:rFonts w:hint="default" w:eastAsia="仿宋_GB2312"/>
                <w:sz w:val="24"/>
              </w:rPr>
              <w:t>.5—2012.6</w:t>
            </w: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10万</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主持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新型毒品氯胺酮成瘾记忆的神经环路基础</w:t>
            </w: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国家自然科学基金</w:t>
            </w: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201</w:t>
            </w:r>
            <w:r>
              <w:rPr>
                <w:rFonts w:hint="eastAsia" w:eastAsia="仿宋_GB2312"/>
                <w:sz w:val="24"/>
                <w:lang w:val="en-US" w:eastAsia="zh-CN"/>
              </w:rPr>
              <w:t>6</w:t>
            </w:r>
            <w:r>
              <w:rPr>
                <w:rFonts w:hint="default" w:eastAsia="仿宋_GB2312"/>
                <w:sz w:val="24"/>
              </w:rPr>
              <w:t>.5—201</w:t>
            </w:r>
            <w:r>
              <w:rPr>
                <w:rFonts w:hint="eastAsia" w:eastAsia="仿宋_GB2312"/>
                <w:sz w:val="24"/>
                <w:lang w:val="en-US" w:eastAsia="zh-CN"/>
              </w:rPr>
              <w:t>8</w:t>
            </w:r>
            <w:r>
              <w:rPr>
                <w:rFonts w:hint="default" w:eastAsia="仿宋_GB2312"/>
                <w:sz w:val="24"/>
              </w:rPr>
              <w:t>.6</w:t>
            </w: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30万</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参与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云南少数民族体育运动健身机能与推广模式研究</w:t>
            </w: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云南省教育厅</w:t>
            </w: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201</w:t>
            </w:r>
            <w:r>
              <w:rPr>
                <w:rFonts w:hint="eastAsia" w:eastAsia="仿宋_GB2312"/>
                <w:sz w:val="24"/>
                <w:lang w:val="en-US" w:eastAsia="zh-CN"/>
              </w:rPr>
              <w:t>9</w:t>
            </w:r>
            <w:r>
              <w:rPr>
                <w:rFonts w:hint="default" w:eastAsia="仿宋_GB2312"/>
                <w:sz w:val="24"/>
              </w:rPr>
              <w:t>.5—</w:t>
            </w:r>
            <w:r>
              <w:rPr>
                <w:rFonts w:hint="eastAsia" w:eastAsia="仿宋_GB2312"/>
                <w:sz w:val="24"/>
                <w:lang w:val="en-US" w:eastAsia="zh-CN"/>
              </w:rPr>
              <w:t>2020</w:t>
            </w:r>
            <w:r>
              <w:rPr>
                <w:rFonts w:hint="default" w:eastAsia="仿宋_GB2312"/>
                <w:sz w:val="24"/>
              </w:rPr>
              <w:t>.6</w:t>
            </w: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10万</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参与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eastAsia" w:ascii="仿宋_GB2312" w:eastAsia="仿宋_GB2312"/>
                <w:sz w:val="24"/>
              </w:rPr>
              <w:t>运动解剖学</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128</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eastAsia" w:ascii="仿宋_GB2312" w:eastAsia="仿宋_GB2312"/>
                <w:sz w:val="24"/>
              </w:rPr>
              <w:t>768</w:t>
            </w:r>
          </w:p>
        </w:tc>
        <w:tc>
          <w:tcPr>
            <w:tcW w:w="678"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基础课程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eastAsia" w:ascii="仿宋_GB2312" w:eastAsia="仿宋_GB2312"/>
                <w:sz w:val="24"/>
              </w:rPr>
              <w:t>运动生理学</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90</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eastAsia" w:ascii="仿宋_GB2312" w:eastAsia="仿宋_GB2312"/>
                <w:sz w:val="24"/>
              </w:rPr>
              <w:t>448</w:t>
            </w:r>
          </w:p>
        </w:tc>
        <w:tc>
          <w:tcPr>
            <w:tcW w:w="678"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基础课程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eastAsia" w:ascii="仿宋_GB2312" w:eastAsia="仿宋_GB2312"/>
                <w:sz w:val="24"/>
              </w:rPr>
              <w:t>运动与减肥</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90</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eastAsia" w:ascii="仿宋_GB2312" w:eastAsia="仿宋_GB2312"/>
                <w:sz w:val="24"/>
              </w:rPr>
              <w:t>396</w:t>
            </w:r>
          </w:p>
        </w:tc>
        <w:tc>
          <w:tcPr>
            <w:tcW w:w="678"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基础课程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                                            签章</w:t>
            </w:r>
          </w:p>
        </w:tc>
      </w:tr>
    </w:tbl>
    <w:p>
      <w:pPr>
        <w:ind w:firstLine="240" w:firstLineChars="100"/>
        <w:rPr>
          <w:rFonts w:eastAsia="仿宋_GB2312"/>
          <w:b/>
          <w:sz w:val="24"/>
        </w:rPr>
      </w:pPr>
      <w:r>
        <w:rPr>
          <w:rFonts w:eastAsia="仿宋_GB2312"/>
          <w:sz w:val="24"/>
        </w:rPr>
        <w:t>注：填写三至五人，只填本专业专任教师，每人一表。</w:t>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528"/>
        <w:gridCol w:w="584"/>
        <w:gridCol w:w="614"/>
        <w:gridCol w:w="1244"/>
        <w:gridCol w:w="557"/>
        <w:gridCol w:w="322"/>
        <w:gridCol w:w="976"/>
        <w:gridCol w:w="743"/>
        <w:gridCol w:w="743"/>
        <w:gridCol w:w="369"/>
        <w:gridCol w:w="373"/>
        <w:gridCol w:w="555"/>
        <w:gridCol w:w="300"/>
        <w:gridCol w:w="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姓名</w:t>
            </w:r>
          </w:p>
        </w:tc>
        <w:tc>
          <w:tcPr>
            <w:tcW w:w="902"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lang w:val="en-US" w:eastAsia="zh-CN"/>
              </w:rPr>
            </w:pPr>
            <w:r>
              <w:rPr>
                <w:rFonts w:hint="eastAsia" w:ascii="仿宋_GB2312" w:eastAsia="仿宋_GB2312"/>
                <w:color w:val="auto"/>
                <w:sz w:val="24"/>
              </w:rPr>
              <w:t>谢秀玲</w:t>
            </w: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性别</w:t>
            </w:r>
          </w:p>
        </w:tc>
        <w:tc>
          <w:tcPr>
            <w:tcW w:w="459" w:type="pct"/>
            <w:gridSpan w:val="2"/>
            <w:vAlign w:val="center"/>
          </w:tcPr>
          <w:p>
            <w:pPr>
              <w:keepNext w:val="0"/>
              <w:keepLines w:val="0"/>
              <w:suppressLineNumbers w:val="0"/>
              <w:tabs>
                <w:tab w:val="left" w:pos="215"/>
              </w:tabs>
              <w:spacing w:before="0" w:beforeAutospacing="0" w:after="0" w:afterAutospacing="0"/>
              <w:ind w:left="0" w:right="0"/>
              <w:jc w:val="left"/>
              <w:rPr>
                <w:rFonts w:hint="default" w:eastAsia="仿宋_GB2312"/>
                <w:color w:val="auto"/>
                <w:sz w:val="24"/>
                <w:lang w:val="en-US" w:eastAsia="zh-CN"/>
              </w:rPr>
            </w:pPr>
            <w:r>
              <w:rPr>
                <w:rFonts w:hint="eastAsia" w:eastAsia="仿宋_GB2312"/>
                <w:color w:val="auto"/>
                <w:sz w:val="24"/>
                <w:lang w:val="en-US" w:eastAsia="zh-CN"/>
              </w:rPr>
              <w:tab/>
            </w:r>
            <w:r>
              <w:rPr>
                <w:rFonts w:hint="eastAsia" w:eastAsia="仿宋_GB2312"/>
                <w:color w:val="auto"/>
                <w:sz w:val="24"/>
                <w:lang w:val="en-US" w:eastAsia="zh-CN"/>
              </w:rPr>
              <w:t>女</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专业技术职务</w:t>
            </w:r>
          </w:p>
        </w:tc>
        <w:tc>
          <w:tcPr>
            <w:tcW w:w="581" w:type="pct"/>
            <w:gridSpan w:val="2"/>
            <w:vAlign w:val="center"/>
          </w:tcPr>
          <w:p>
            <w:pPr>
              <w:keepNext w:val="0"/>
              <w:keepLines w:val="0"/>
              <w:suppressLineNumbers w:val="0"/>
              <w:tabs>
                <w:tab w:val="left" w:pos="217"/>
              </w:tabs>
              <w:spacing w:before="0" w:beforeAutospacing="0" w:after="0" w:afterAutospacing="0"/>
              <w:ind w:left="0" w:right="0"/>
              <w:jc w:val="center"/>
              <w:rPr>
                <w:rFonts w:hint="default" w:eastAsia="仿宋_GB2312"/>
                <w:color w:val="auto"/>
                <w:sz w:val="24"/>
                <w:lang w:val="en-US" w:eastAsia="zh-CN"/>
              </w:rPr>
            </w:pPr>
            <w:r>
              <w:rPr>
                <w:rFonts w:hint="eastAsia" w:eastAsia="仿宋_GB2312"/>
                <w:color w:val="auto"/>
                <w:sz w:val="24"/>
                <w:lang w:val="en-US" w:eastAsia="zh-CN"/>
              </w:rPr>
              <w:t>讲师</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第一学历</w:t>
            </w:r>
          </w:p>
        </w:tc>
        <w:tc>
          <w:tcPr>
            <w:tcW w:w="51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lang w:val="en-US" w:eastAsia="zh-CN"/>
              </w:rPr>
            </w:pPr>
            <w:r>
              <w:rPr>
                <w:rFonts w:hint="eastAsia" w:eastAsia="仿宋_GB2312"/>
                <w:color w:val="auto"/>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1969</w:t>
            </w:r>
            <w:r>
              <w:rPr>
                <w:rFonts w:hint="eastAsia" w:eastAsia="仿宋_GB2312"/>
                <w:color w:val="auto"/>
                <w:sz w:val="24"/>
                <w:lang w:eastAsia="zh-CN"/>
              </w:rPr>
              <w:t>.</w:t>
            </w:r>
            <w:r>
              <w:rPr>
                <w:rFonts w:hint="default" w:eastAsia="仿宋_GB2312"/>
                <w:color w:val="auto"/>
                <w:sz w:val="24"/>
              </w:rPr>
              <w:t>3</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lang w:val="en-US" w:eastAsia="zh-CN"/>
              </w:rPr>
            </w:pPr>
            <w:r>
              <w:rPr>
                <w:rFonts w:hint="eastAsia" w:eastAsia="仿宋_GB2312"/>
                <w:color w:val="auto"/>
                <w:sz w:val="24"/>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最后学历</w:t>
            </w:r>
          </w:p>
        </w:tc>
        <w:tc>
          <w:tcPr>
            <w:tcW w:w="51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lang w:val="en-US" w:eastAsia="zh-CN"/>
              </w:rPr>
            </w:pPr>
            <w:r>
              <w:rPr>
                <w:rFonts w:hint="eastAsia" w:eastAsia="仿宋_GB2312"/>
                <w:color w:val="auto"/>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rPr>
            </w:pPr>
            <w:r>
              <w:rPr>
                <w:rFonts w:hint="default" w:eastAsia="仿宋_GB2312"/>
                <w:color w:val="auto"/>
                <w:spacing w:val="-6"/>
                <w:sz w:val="24"/>
              </w:rPr>
              <w:t>第一学历和最后学历</w:t>
            </w:r>
            <w:r>
              <w:rPr>
                <w:rFonts w:hint="default" w:eastAsia="仿宋_GB2312"/>
                <w:color w:val="auto"/>
                <w:spacing w:val="-10"/>
                <w:sz w:val="24"/>
              </w:rPr>
              <w:t>毕业时间、学校、专业</w:t>
            </w:r>
          </w:p>
        </w:tc>
        <w:tc>
          <w:tcPr>
            <w:tcW w:w="3748"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lang w:val="en-US" w:eastAsia="zh-CN"/>
              </w:rPr>
            </w:pPr>
            <w:r>
              <w:rPr>
                <w:rFonts w:hint="eastAsia" w:eastAsia="仿宋_GB2312"/>
                <w:color w:val="auto"/>
                <w:sz w:val="24"/>
                <w:lang w:val="en-US" w:eastAsia="zh-CN"/>
              </w:rPr>
              <w:t xml:space="preserve">2012年6月 </w:t>
            </w:r>
            <w:r>
              <w:rPr>
                <w:rFonts w:hint="default" w:eastAsia="仿宋_GB2312"/>
                <w:color w:val="auto"/>
                <w:sz w:val="24"/>
              </w:rPr>
              <w:t>南昌大学</w:t>
            </w:r>
            <w:r>
              <w:rPr>
                <w:rFonts w:hint="eastAsia" w:eastAsia="仿宋_GB2312"/>
                <w:color w:val="auto"/>
                <w:sz w:val="24"/>
                <w:lang w:val="en-US" w:eastAsia="zh-CN"/>
              </w:rPr>
              <w:t xml:space="preserve"> </w:t>
            </w:r>
            <w:r>
              <w:rPr>
                <w:rFonts w:hint="default" w:eastAsia="仿宋_GB2312"/>
                <w:color w:val="auto"/>
                <w:sz w:val="24"/>
              </w:rPr>
              <w:t>食品学院</w:t>
            </w:r>
          </w:p>
          <w:p>
            <w:pPr>
              <w:keepNext w:val="0"/>
              <w:keepLines w:val="0"/>
              <w:suppressLineNumbers w:val="0"/>
              <w:spacing w:before="0" w:beforeAutospacing="0" w:after="0" w:afterAutospacing="0"/>
              <w:ind w:left="0" w:right="0"/>
              <w:jc w:val="left"/>
              <w:rPr>
                <w:rFonts w:hint="eastAsia" w:eastAsia="仿宋_GB2312"/>
                <w:color w:val="auto"/>
                <w:sz w:val="24"/>
                <w:lang w:eastAsia="zh-CN"/>
              </w:rPr>
            </w:pPr>
            <w:r>
              <w:rPr>
                <w:rFonts w:hint="default" w:eastAsia="仿宋_GB2312"/>
                <w:color w:val="auto"/>
                <w:sz w:val="24"/>
              </w:rPr>
              <w:t>2015年6月</w:t>
            </w:r>
            <w:r>
              <w:rPr>
                <w:rFonts w:hint="eastAsia" w:eastAsia="仿宋_GB2312"/>
                <w:color w:val="auto"/>
                <w:sz w:val="24"/>
                <w:lang w:val="en-US" w:eastAsia="zh-CN"/>
              </w:rPr>
              <w:t xml:space="preserve"> </w:t>
            </w:r>
            <w:r>
              <w:rPr>
                <w:rFonts w:hint="default" w:eastAsia="仿宋_GB2312"/>
                <w:color w:val="auto"/>
                <w:sz w:val="24"/>
              </w:rPr>
              <w:t>南昌大学</w:t>
            </w:r>
            <w:r>
              <w:rPr>
                <w:rFonts w:hint="eastAsia" w:eastAsia="仿宋_GB2312"/>
                <w:color w:val="auto"/>
                <w:sz w:val="24"/>
                <w:lang w:val="en-US" w:eastAsia="zh-CN"/>
              </w:rPr>
              <w:t xml:space="preserve"> </w:t>
            </w:r>
            <w:r>
              <w:rPr>
                <w:rFonts w:hint="default" w:eastAsia="仿宋_GB2312"/>
                <w:color w:val="auto"/>
                <w:sz w:val="24"/>
              </w:rPr>
              <w:t>食品学院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主要从事工作与</w:t>
            </w:r>
          </w:p>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研究方向</w:t>
            </w:r>
          </w:p>
        </w:tc>
        <w:tc>
          <w:tcPr>
            <w:tcW w:w="3748"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ascii="仿宋_GB2312" w:eastAsia="仿宋_GB2312"/>
                <w:color w:val="auto"/>
                <w:sz w:val="24"/>
              </w:rPr>
              <w:t>食品免疫学、食品生物技术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在国内外重要学术刊物上发表论文共</w:t>
            </w:r>
            <w:r>
              <w:rPr>
                <w:rFonts w:hint="eastAsia" w:eastAsia="仿宋_GB2312"/>
                <w:sz w:val="24"/>
                <w:lang w:val="en-US" w:eastAsia="zh-CN"/>
              </w:rPr>
              <w:t>5</w:t>
            </w:r>
            <w:r>
              <w:rPr>
                <w:rFonts w:hint="default" w:eastAsia="仿宋_GB2312"/>
                <w:sz w:val="24"/>
              </w:rPr>
              <w:t xml:space="preserve"> 篇； 出版专著（译著等）</w:t>
            </w:r>
            <w:r>
              <w:rPr>
                <w:rFonts w:hint="eastAsia" w:eastAsia="仿宋_GB2312"/>
                <w:sz w:val="24"/>
                <w:lang w:val="en-US" w:eastAsia="zh-CN"/>
              </w:rPr>
              <w:t xml:space="preserve"> 1 </w:t>
            </w:r>
            <w:r>
              <w:rPr>
                <w:rFonts w:hint="default" w:eastAsia="仿宋_GB2312"/>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获教学科研成果奖共  </w:t>
            </w:r>
            <w:r>
              <w:rPr>
                <w:rFonts w:hint="eastAsia" w:eastAsia="仿宋_GB2312"/>
                <w:sz w:val="24"/>
                <w:lang w:val="en-US" w:eastAsia="zh-CN"/>
              </w:rPr>
              <w:t xml:space="preserve">5 </w:t>
            </w:r>
            <w:r>
              <w:rPr>
                <w:rFonts w:hint="default" w:eastAsia="仿宋_GB2312"/>
                <w:sz w:val="24"/>
              </w:rPr>
              <w:t xml:space="preserve">项；其中：国家级 </w:t>
            </w:r>
            <w:r>
              <w:rPr>
                <w:rFonts w:hint="eastAsia" w:eastAsia="仿宋_GB2312"/>
                <w:sz w:val="24"/>
                <w:lang w:val="en-US" w:eastAsia="zh-CN"/>
              </w:rPr>
              <w:t>0</w:t>
            </w:r>
            <w:r>
              <w:rPr>
                <w:rFonts w:hint="default" w:eastAsia="仿宋_GB2312"/>
                <w:sz w:val="24"/>
              </w:rPr>
              <w:t xml:space="preserve"> </w:t>
            </w:r>
            <w:r>
              <w:rPr>
                <w:rFonts w:hint="eastAsia" w:eastAsia="仿宋_GB2312"/>
                <w:sz w:val="24"/>
                <w:lang w:val="en-US" w:eastAsia="zh-CN"/>
              </w:rPr>
              <w:t xml:space="preserve">  </w:t>
            </w:r>
            <w:r>
              <w:rPr>
                <w:rFonts w:hint="default" w:eastAsia="仿宋_GB2312"/>
                <w:sz w:val="24"/>
              </w:rPr>
              <w:t xml:space="preserve">项， 省部级  </w:t>
            </w:r>
            <w:r>
              <w:rPr>
                <w:rFonts w:hint="eastAsia" w:eastAsia="仿宋_GB2312"/>
                <w:sz w:val="24"/>
                <w:lang w:val="en-US" w:eastAsia="zh-CN"/>
              </w:rPr>
              <w:t xml:space="preserve"> 0 </w:t>
            </w:r>
            <w:r>
              <w:rPr>
                <w:rFonts w:hint="default" w:eastAsia="仿宋_GB2312"/>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rPr>
            </w:pPr>
            <w:r>
              <w:rPr>
                <w:rFonts w:hint="default" w:eastAsia="仿宋_GB2312"/>
                <w:color w:val="auto"/>
                <w:sz w:val="24"/>
              </w:rPr>
              <w:t xml:space="preserve">目前承担教学科研项目共 </w:t>
            </w:r>
            <w:r>
              <w:rPr>
                <w:rFonts w:hint="eastAsia" w:eastAsia="仿宋_GB2312"/>
                <w:color w:val="auto"/>
                <w:sz w:val="24"/>
                <w:lang w:val="en-US" w:eastAsia="zh-CN"/>
              </w:rPr>
              <w:t>5</w:t>
            </w:r>
            <w:r>
              <w:rPr>
                <w:rFonts w:hint="default" w:eastAsia="仿宋_GB2312"/>
                <w:color w:val="auto"/>
                <w:sz w:val="24"/>
              </w:rPr>
              <w:t xml:space="preserve">项；其中：国家级项目 </w:t>
            </w:r>
            <w:r>
              <w:rPr>
                <w:rFonts w:hint="eastAsia" w:eastAsia="仿宋_GB2312"/>
                <w:color w:val="auto"/>
                <w:sz w:val="24"/>
                <w:lang w:val="en-US" w:eastAsia="zh-CN"/>
              </w:rPr>
              <w:t>2</w:t>
            </w:r>
            <w:r>
              <w:rPr>
                <w:rFonts w:hint="default" w:eastAsia="仿宋_GB2312"/>
                <w:color w:val="auto"/>
                <w:sz w:val="24"/>
              </w:rPr>
              <w:t xml:space="preserve"> 项，省部级项目 </w:t>
            </w:r>
            <w:r>
              <w:rPr>
                <w:rFonts w:hint="eastAsia" w:eastAsia="仿宋_GB2312"/>
                <w:color w:val="auto"/>
                <w:sz w:val="24"/>
                <w:lang w:val="en-US" w:eastAsia="zh-CN"/>
              </w:rPr>
              <w:t>3</w:t>
            </w:r>
            <w:r>
              <w:rPr>
                <w:rFonts w:hint="default" w:eastAsia="仿宋_GB2312"/>
                <w:color w:val="auto"/>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rPr>
            </w:pPr>
            <w:r>
              <w:rPr>
                <w:rFonts w:hint="default" w:eastAsia="仿宋_GB2312"/>
                <w:color w:val="auto"/>
                <w:sz w:val="24"/>
              </w:rPr>
              <w:t xml:space="preserve">近三年拥有教学科研经费共  </w:t>
            </w:r>
            <w:r>
              <w:rPr>
                <w:rFonts w:hint="eastAsia" w:eastAsia="仿宋_GB2312"/>
                <w:color w:val="auto"/>
                <w:sz w:val="24"/>
                <w:lang w:val="en-US" w:eastAsia="zh-CN"/>
              </w:rPr>
              <w:t>4.9</w:t>
            </w:r>
            <w:r>
              <w:rPr>
                <w:rFonts w:hint="default" w:eastAsia="仿宋_GB2312"/>
                <w:color w:val="auto"/>
                <w:sz w:val="24"/>
              </w:rPr>
              <w:t xml:space="preserve">   万元， 年均   </w:t>
            </w:r>
            <w:r>
              <w:rPr>
                <w:rFonts w:hint="eastAsia" w:eastAsia="仿宋_GB2312"/>
                <w:color w:val="auto"/>
                <w:sz w:val="24"/>
                <w:lang w:val="en-US" w:eastAsia="zh-CN"/>
              </w:rPr>
              <w:t>1.6</w:t>
            </w:r>
            <w:r>
              <w:rPr>
                <w:rFonts w:hint="default" w:eastAsia="仿宋_GB2312"/>
                <w:color w:val="auto"/>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color w:val="auto"/>
                <w:sz w:val="24"/>
              </w:rPr>
            </w:pPr>
            <w:r>
              <w:rPr>
                <w:rFonts w:hint="default" w:eastAsia="仿宋_GB2312"/>
                <w:color w:val="auto"/>
                <w:sz w:val="24"/>
              </w:rPr>
              <w:t xml:space="preserve">近三年给本科生授课（理论教学）共 </w:t>
            </w:r>
            <w:r>
              <w:rPr>
                <w:rFonts w:hint="eastAsia" w:eastAsia="仿宋_GB2312"/>
                <w:color w:val="auto"/>
                <w:sz w:val="24"/>
                <w:lang w:val="en-US" w:eastAsia="zh-CN"/>
              </w:rPr>
              <w:t>480</w:t>
            </w:r>
            <w:r>
              <w:rPr>
                <w:rFonts w:hint="default" w:eastAsia="仿宋_GB2312"/>
                <w:color w:val="auto"/>
                <w:sz w:val="24"/>
              </w:rPr>
              <w:t xml:space="preserve">  学时；指导本科毕业设计共    </w:t>
            </w:r>
            <w:r>
              <w:rPr>
                <w:rFonts w:hint="eastAsia" w:eastAsia="仿宋_GB2312"/>
                <w:color w:val="auto"/>
                <w:sz w:val="24"/>
                <w:lang w:val="en-US" w:eastAsia="zh-CN"/>
              </w:rPr>
              <w:t>0</w:t>
            </w:r>
            <w:r>
              <w:rPr>
                <w:rFonts w:hint="default" w:eastAsia="仿宋_GB2312"/>
                <w:color w:val="auto"/>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default" w:eastAsia="仿宋_GB2312"/>
                <w:color w:val="auto"/>
                <w:sz w:val="24"/>
              </w:rPr>
              <w:t>新工科下PBL和课程思政在食品分析课程的应用</w:t>
            </w:r>
          </w:p>
        </w:tc>
        <w:tc>
          <w:tcPr>
            <w:tcW w:w="1842" w:type="pct"/>
            <w:gridSpan w:val="6"/>
            <w:vAlign w:val="center"/>
          </w:tcPr>
          <w:p>
            <w:pPr>
              <w:keepNext w:val="0"/>
              <w:keepLines w:val="0"/>
              <w:suppressLineNumbers w:val="0"/>
              <w:spacing w:before="0" w:beforeAutospacing="0" w:after="0" w:afterAutospacing="0"/>
              <w:ind w:left="0" w:right="0" w:firstLine="480" w:firstLineChars="200"/>
              <w:jc w:val="left"/>
              <w:rPr>
                <w:rFonts w:hint="eastAsia" w:eastAsia="仿宋"/>
                <w:color w:val="auto"/>
                <w:sz w:val="24"/>
                <w:lang w:val="en-US" w:eastAsia="zh-CN"/>
              </w:rPr>
            </w:pPr>
            <w:r>
              <w:rPr>
                <w:rFonts w:hint="eastAsia" w:ascii="仿宋" w:hAnsi="仿宋" w:eastAsia="仿宋"/>
                <w:color w:val="auto"/>
                <w:sz w:val="24"/>
                <w:szCs w:val="24"/>
                <w:lang w:val="en-US" w:eastAsia="zh-CN"/>
              </w:rPr>
              <w:t xml:space="preserve">核心 </w:t>
            </w:r>
            <w:r>
              <w:rPr>
                <w:rFonts w:hint="eastAsia" w:ascii="仿宋" w:hAnsi="仿宋" w:eastAsia="仿宋"/>
                <w:color w:val="auto"/>
                <w:sz w:val="24"/>
                <w:szCs w:val="24"/>
              </w:rPr>
              <w:t>食品工业</w:t>
            </w:r>
            <w:r>
              <w:rPr>
                <w:rFonts w:hint="eastAsia" w:ascii="仿宋" w:hAnsi="仿宋" w:eastAsia="仿宋"/>
                <w:color w:val="auto"/>
                <w:sz w:val="24"/>
                <w:szCs w:val="24"/>
                <w:lang w:val="en-US" w:eastAsia="zh-CN"/>
              </w:rPr>
              <w:t xml:space="preserve">  </w:t>
            </w:r>
            <w:r>
              <w:rPr>
                <w:rFonts w:hint="eastAsia" w:ascii="仿宋" w:hAnsi="仿宋" w:eastAsia="仿宋"/>
                <w:color w:val="auto"/>
                <w:sz w:val="24"/>
                <w:szCs w:val="24"/>
              </w:rPr>
              <w:t>2023</w:t>
            </w:r>
            <w:r>
              <w:rPr>
                <w:rFonts w:hint="eastAsia" w:ascii="仿宋" w:hAnsi="仿宋" w:eastAsia="仿宋"/>
                <w:color w:val="auto"/>
                <w:sz w:val="24"/>
                <w:szCs w:val="24"/>
                <w:lang w:val="en-US" w:eastAsia="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ascii="仿宋_GB2312" w:hAnsi="宋体" w:eastAsia="仿宋_GB2312" w:cs="宋体"/>
                <w:color w:val="auto"/>
                <w:kern w:val="0"/>
                <w:sz w:val="24"/>
                <w:szCs w:val="24"/>
                <w:lang w:val="zh-CN" w:bidi="zh-CN"/>
              </w:rPr>
              <w:t>基于模糊综合评价柠檬豆腐工艺研究</w:t>
            </w:r>
          </w:p>
        </w:tc>
        <w:tc>
          <w:tcPr>
            <w:tcW w:w="1842" w:type="pct"/>
            <w:gridSpan w:val="6"/>
            <w:vAlign w:val="center"/>
          </w:tcPr>
          <w:p>
            <w:pPr>
              <w:keepNext w:val="0"/>
              <w:keepLines w:val="0"/>
              <w:suppressLineNumbers w:val="0"/>
              <w:spacing w:before="0" w:beforeAutospacing="0" w:after="0" w:afterAutospacing="0"/>
              <w:ind w:left="0" w:right="0" w:firstLine="480" w:firstLineChars="200"/>
              <w:jc w:val="both"/>
              <w:rPr>
                <w:rFonts w:hint="default" w:eastAsia="仿宋_GB2312"/>
                <w:color w:val="auto"/>
                <w:sz w:val="24"/>
                <w:lang w:val="en-US" w:eastAsia="zh-CN"/>
              </w:rPr>
            </w:pPr>
            <w:r>
              <w:rPr>
                <w:rFonts w:hint="eastAsia" w:eastAsia="仿宋_GB2312"/>
                <w:color w:val="auto"/>
                <w:sz w:val="24"/>
                <w:lang w:val="en-US" w:eastAsia="zh-CN"/>
              </w:rPr>
              <w:t xml:space="preserve">核心 </w:t>
            </w:r>
            <w:r>
              <w:rPr>
                <w:rFonts w:hint="eastAsia" w:ascii="仿宋_GB2312" w:hAnsi="宋体" w:eastAsia="仿宋_GB2312" w:cs="宋体"/>
                <w:color w:val="auto"/>
                <w:kern w:val="0"/>
                <w:sz w:val="24"/>
                <w:szCs w:val="24"/>
                <w:lang w:val="zh-CN" w:bidi="zh-CN"/>
              </w:rPr>
              <w:t>大豆科学</w:t>
            </w:r>
            <w:r>
              <w:rPr>
                <w:rFonts w:hint="eastAsia" w:ascii="仿宋_GB2312" w:hAnsi="宋体" w:eastAsia="仿宋_GB2312" w:cs="宋体"/>
                <w:color w:val="auto"/>
                <w:kern w:val="0"/>
                <w:sz w:val="24"/>
                <w:szCs w:val="24"/>
                <w:lang w:val="en-US" w:bidi="zh-CN"/>
              </w:rPr>
              <w:t xml:space="preserve">  </w:t>
            </w:r>
            <w:r>
              <w:rPr>
                <w:rFonts w:hint="eastAsia" w:ascii="仿宋_GB2312" w:hAnsi="宋体" w:eastAsia="仿宋_GB2312" w:cs="宋体"/>
                <w:color w:val="auto"/>
                <w:kern w:val="0"/>
                <w:sz w:val="24"/>
                <w:szCs w:val="24"/>
                <w:lang w:val="zh-CN" w:bidi="zh-CN"/>
              </w:rPr>
              <w:t>2019</w:t>
            </w:r>
            <w:r>
              <w:rPr>
                <w:rFonts w:hint="eastAsia" w:ascii="仿宋_GB2312" w:hAnsi="宋体" w:eastAsia="仿宋_GB2312" w:cs="宋体"/>
                <w:color w:val="auto"/>
                <w:kern w:val="0"/>
                <w:sz w:val="24"/>
                <w:szCs w:val="24"/>
                <w:lang w:val="en-US" w:bidi="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9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default" w:eastAsia="仿宋_GB2312"/>
                <w:color w:val="auto"/>
                <w:sz w:val="24"/>
              </w:rPr>
              <w:t>高校食品专业生产实习教学现状及改革初探</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color w:val="auto"/>
                <w:sz w:val="24"/>
                <w:lang w:val="en-US"/>
              </w:rPr>
            </w:pPr>
            <w:r>
              <w:rPr>
                <w:rFonts w:hint="eastAsia" w:ascii="仿宋_GB2312" w:hAnsi="宋体" w:eastAsia="仿宋_GB2312" w:cs="宋体"/>
                <w:color w:val="auto"/>
                <w:kern w:val="0"/>
                <w:sz w:val="24"/>
                <w:szCs w:val="24"/>
                <w:lang w:val="en-US" w:bidi="zh-CN"/>
              </w:rPr>
              <w:t xml:space="preserve">普刊 </w:t>
            </w:r>
            <w:r>
              <w:rPr>
                <w:rFonts w:hint="eastAsia" w:ascii="仿宋_GB2312" w:hAnsi="宋体" w:eastAsia="仿宋_GB2312" w:cs="宋体"/>
                <w:color w:val="auto"/>
                <w:kern w:val="0"/>
                <w:sz w:val="24"/>
                <w:szCs w:val="24"/>
                <w:lang w:val="zh-CN" w:bidi="zh-CN"/>
              </w:rPr>
              <w:t>阜阳师范学院学报（自然科学版）2018</w:t>
            </w:r>
            <w:r>
              <w:rPr>
                <w:rFonts w:hint="eastAsia" w:ascii="仿宋_GB2312" w:hAnsi="宋体" w:eastAsia="仿宋_GB2312" w:cs="宋体"/>
                <w:color w:val="auto"/>
                <w:kern w:val="0"/>
                <w:sz w:val="24"/>
                <w:szCs w:val="24"/>
                <w:lang w:val="en-US" w:bidi="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ascii="仿宋_GB2312" w:eastAsia="仿宋_GB2312"/>
                <w:color w:val="auto"/>
                <w:sz w:val="24"/>
              </w:rPr>
              <w:t>食品分析</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96</w:t>
            </w:r>
          </w:p>
        </w:tc>
        <w:tc>
          <w:tcPr>
            <w:tcW w:w="678" w:type="pct"/>
            <w:gridSpan w:val="3"/>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ascii="仿宋_GB2312" w:eastAsia="仿宋_GB2312"/>
                <w:color w:val="auto"/>
                <w:sz w:val="24"/>
              </w:rPr>
              <w:t>食品生物化学</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96</w:t>
            </w: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ascii="仿宋_GB2312" w:eastAsia="仿宋_GB2312"/>
                <w:color w:val="auto"/>
                <w:sz w:val="24"/>
              </w:rPr>
              <w:t>食品质量安全与控制</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96</w:t>
            </w: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ascii="仿宋_GB2312" w:eastAsia="仿宋_GB2312"/>
                <w:color w:val="auto"/>
                <w:sz w:val="24"/>
              </w:rPr>
              <w:t>食品毒理学</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96</w:t>
            </w: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ascii="仿宋_GB2312" w:eastAsia="仿宋_GB2312"/>
                <w:color w:val="auto"/>
                <w:sz w:val="24"/>
              </w:rPr>
              <w:t>食品质量与安全检测技术</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96</w:t>
            </w: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                                            签章</w:t>
            </w:r>
          </w:p>
        </w:tc>
      </w:tr>
    </w:tbl>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3"/>
        <w:gridCol w:w="519"/>
        <w:gridCol w:w="575"/>
        <w:gridCol w:w="605"/>
        <w:gridCol w:w="1235"/>
        <w:gridCol w:w="631"/>
        <w:gridCol w:w="365"/>
        <w:gridCol w:w="967"/>
        <w:gridCol w:w="734"/>
        <w:gridCol w:w="734"/>
        <w:gridCol w:w="360"/>
        <w:gridCol w:w="364"/>
        <w:gridCol w:w="546"/>
        <w:gridCol w:w="291"/>
        <w:gridCol w:w="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姓名</w:t>
            </w:r>
          </w:p>
        </w:tc>
        <w:tc>
          <w:tcPr>
            <w:tcW w:w="902" w:type="pct"/>
            <w:gridSpan w:val="3"/>
            <w:vMerge w:val="restart"/>
            <w:vAlign w:val="center"/>
          </w:tcPr>
          <w:p>
            <w:pPr>
              <w:keepNext w:val="0"/>
              <w:keepLines w:val="0"/>
              <w:suppressLineNumbers w:val="0"/>
              <w:tabs>
                <w:tab w:val="left" w:pos="338"/>
              </w:tabs>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张江月</w:t>
            </w: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女</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专业技术职务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助教</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第一学历</w:t>
            </w:r>
          </w:p>
        </w:tc>
        <w:tc>
          <w:tcPr>
            <w:tcW w:w="518"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902"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650"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19</w:t>
            </w:r>
            <w:r>
              <w:rPr>
                <w:rFonts w:hint="eastAsia" w:eastAsia="仿宋_GB2312"/>
                <w:sz w:val="24"/>
                <w:lang w:val="en-US" w:eastAsia="zh-CN"/>
              </w:rPr>
              <w:t>94</w:t>
            </w:r>
            <w:r>
              <w:rPr>
                <w:rFonts w:hint="eastAsia" w:eastAsia="仿宋_GB2312"/>
                <w:sz w:val="24"/>
                <w:lang w:eastAsia="zh-CN"/>
              </w:rPr>
              <w:t>.</w:t>
            </w:r>
            <w:r>
              <w:rPr>
                <w:rFonts w:hint="default" w:eastAsia="仿宋_GB2312"/>
                <w:sz w:val="24"/>
              </w:rPr>
              <w:t>10</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行政职务</w:t>
            </w:r>
          </w:p>
        </w:tc>
        <w:tc>
          <w:tcPr>
            <w:tcW w:w="581"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无</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最后学历</w:t>
            </w:r>
          </w:p>
        </w:tc>
        <w:tc>
          <w:tcPr>
            <w:tcW w:w="51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rPr>
            </w:pPr>
            <w:r>
              <w:rPr>
                <w:rFonts w:hint="default" w:eastAsia="仿宋_GB2312"/>
                <w:color w:val="auto"/>
                <w:spacing w:val="-6"/>
                <w:sz w:val="24"/>
                <w:highlight w:val="none"/>
              </w:rPr>
              <w:t>第一学历</w:t>
            </w:r>
            <w:r>
              <w:rPr>
                <w:rFonts w:hint="default" w:eastAsia="仿宋_GB2312"/>
                <w:color w:val="auto"/>
                <w:spacing w:val="-6"/>
                <w:sz w:val="24"/>
              </w:rPr>
              <w:t>和最后学历</w:t>
            </w:r>
            <w:r>
              <w:rPr>
                <w:rFonts w:hint="default" w:eastAsia="仿宋_GB2312"/>
                <w:color w:val="auto"/>
                <w:spacing w:val="-10"/>
                <w:sz w:val="24"/>
              </w:rPr>
              <w:t>毕业时间、学校、专业</w:t>
            </w:r>
          </w:p>
        </w:tc>
        <w:tc>
          <w:tcPr>
            <w:tcW w:w="3748"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lang w:val="en-US" w:eastAsia="zh-CN"/>
              </w:rPr>
            </w:pPr>
            <w:r>
              <w:rPr>
                <w:rFonts w:hint="eastAsia" w:eastAsia="仿宋_GB2312"/>
                <w:color w:val="auto"/>
                <w:sz w:val="24"/>
                <w:lang w:val="en-US" w:eastAsia="zh-CN"/>
              </w:rPr>
              <w:t>2018年6月 云南农业大学 食品科学技术</w:t>
            </w:r>
          </w:p>
          <w:p>
            <w:pPr>
              <w:keepNext w:val="0"/>
              <w:keepLines w:val="0"/>
              <w:suppressLineNumbers w:val="0"/>
              <w:spacing w:before="0" w:beforeAutospacing="0" w:after="0" w:afterAutospacing="0"/>
              <w:ind w:left="0" w:right="0"/>
              <w:jc w:val="left"/>
              <w:rPr>
                <w:rFonts w:hint="eastAsia" w:eastAsia="仿宋_GB2312"/>
                <w:color w:val="auto"/>
                <w:sz w:val="24"/>
                <w:lang w:eastAsia="zh-CN"/>
              </w:rPr>
            </w:pPr>
            <w:r>
              <w:rPr>
                <w:rFonts w:hint="eastAsia" w:eastAsia="仿宋_GB2312"/>
                <w:color w:val="auto"/>
                <w:sz w:val="24"/>
                <w:lang w:eastAsia="zh-CN"/>
              </w:rPr>
              <w:t>2021年6月</w:t>
            </w:r>
            <w:r>
              <w:rPr>
                <w:rFonts w:hint="eastAsia" w:eastAsia="仿宋_GB2312"/>
                <w:color w:val="auto"/>
                <w:sz w:val="24"/>
                <w:lang w:val="en-US" w:eastAsia="zh-CN"/>
              </w:rPr>
              <w:t xml:space="preserve"> </w:t>
            </w:r>
            <w:r>
              <w:rPr>
                <w:rFonts w:hint="eastAsia" w:eastAsia="仿宋_GB2312"/>
                <w:color w:val="auto"/>
                <w:sz w:val="24"/>
                <w:lang w:eastAsia="zh-CN"/>
              </w:rPr>
              <w:t>云南农业大学</w:t>
            </w:r>
            <w:r>
              <w:rPr>
                <w:rFonts w:hint="eastAsia" w:eastAsia="仿宋_GB2312"/>
                <w:color w:val="auto"/>
                <w:sz w:val="24"/>
                <w:lang w:val="en-US" w:eastAsia="zh-CN"/>
              </w:rPr>
              <w:t xml:space="preserve"> </w:t>
            </w:r>
            <w:r>
              <w:rPr>
                <w:rFonts w:hint="eastAsia" w:eastAsia="仿宋_GB2312"/>
                <w:color w:val="auto"/>
                <w:sz w:val="24"/>
                <w:lang w:eastAsia="zh-CN"/>
              </w:rPr>
              <w:t>食品科学技术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主要从事工作与</w:t>
            </w:r>
          </w:p>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研究方向</w:t>
            </w:r>
          </w:p>
        </w:tc>
        <w:tc>
          <w:tcPr>
            <w:tcW w:w="3748" w:type="pct"/>
            <w:gridSpan w:val="11"/>
            <w:vAlign w:val="center"/>
          </w:tcPr>
          <w:p>
            <w:pPr>
              <w:keepNext w:val="0"/>
              <w:keepLines w:val="0"/>
              <w:suppressLineNumbers w:val="0"/>
              <w:spacing w:before="0" w:beforeAutospacing="0" w:after="0" w:afterAutospacing="0"/>
              <w:ind w:left="0" w:right="0" w:firstLine="480" w:firstLineChars="200"/>
              <w:jc w:val="left"/>
              <w:rPr>
                <w:rFonts w:hint="default" w:eastAsia="仿宋_GB2312"/>
                <w:color w:val="auto"/>
                <w:sz w:val="24"/>
              </w:rPr>
            </w:pPr>
            <w:r>
              <w:rPr>
                <w:rFonts w:hint="eastAsia" w:ascii="仿宋_GB2312" w:eastAsia="仿宋_GB2312"/>
                <w:color w:val="auto"/>
                <w:sz w:val="24"/>
              </w:rPr>
              <w:t>食品质量与安全控制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在国内外重要学术刊物上发表论文共 </w:t>
            </w:r>
            <w:r>
              <w:rPr>
                <w:rFonts w:hint="eastAsia" w:eastAsia="仿宋_GB2312"/>
                <w:sz w:val="24"/>
                <w:lang w:val="en-US" w:eastAsia="zh-CN"/>
              </w:rPr>
              <w:t xml:space="preserve"> 1 </w:t>
            </w:r>
            <w:r>
              <w:rPr>
                <w:rFonts w:hint="default" w:eastAsia="仿宋_GB2312"/>
                <w:sz w:val="24"/>
              </w:rPr>
              <w:t>篇； 出版专著（译著等）</w:t>
            </w:r>
            <w:r>
              <w:rPr>
                <w:rFonts w:hint="eastAsia" w:eastAsia="仿宋_GB2312"/>
                <w:sz w:val="24"/>
                <w:lang w:val="en-US" w:eastAsia="zh-CN"/>
              </w:rPr>
              <w:t>0</w:t>
            </w:r>
            <w:r>
              <w:rPr>
                <w:rFonts w:hint="default" w:eastAsia="仿宋_GB2312"/>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获教学科研成果奖共 </w:t>
            </w:r>
            <w:r>
              <w:rPr>
                <w:rFonts w:hint="eastAsia" w:eastAsia="仿宋_GB2312"/>
                <w:sz w:val="24"/>
                <w:lang w:val="en-US" w:eastAsia="zh-CN"/>
              </w:rPr>
              <w:t>0</w:t>
            </w:r>
            <w:r>
              <w:rPr>
                <w:rFonts w:hint="default" w:eastAsia="仿宋_GB2312"/>
                <w:sz w:val="24"/>
              </w:rPr>
              <w:t xml:space="preserve"> 项；其中：国家级 </w:t>
            </w:r>
            <w:r>
              <w:rPr>
                <w:rFonts w:hint="eastAsia" w:eastAsia="仿宋_GB2312"/>
                <w:sz w:val="24"/>
                <w:lang w:val="en-US" w:eastAsia="zh-CN"/>
              </w:rPr>
              <w:t>0</w:t>
            </w:r>
            <w:r>
              <w:rPr>
                <w:rFonts w:hint="default" w:eastAsia="仿宋_GB2312"/>
                <w:sz w:val="24"/>
              </w:rPr>
              <w:t xml:space="preserve"> 项， 省部级 </w:t>
            </w:r>
            <w:r>
              <w:rPr>
                <w:rFonts w:hint="eastAsia" w:eastAsia="仿宋_GB2312"/>
                <w:sz w:val="24"/>
                <w:lang w:val="en-US" w:eastAsia="zh-CN"/>
              </w:rPr>
              <w:t>0</w:t>
            </w:r>
            <w:r>
              <w:rPr>
                <w:rFonts w:hint="default" w:eastAsia="仿宋_GB2312"/>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目前承担教学科研项目共</w:t>
            </w:r>
            <w:r>
              <w:rPr>
                <w:rFonts w:hint="eastAsia" w:eastAsia="仿宋_GB2312"/>
                <w:sz w:val="24"/>
                <w:lang w:val="en-US" w:eastAsia="zh-CN"/>
              </w:rPr>
              <w:t>1</w:t>
            </w:r>
            <w:r>
              <w:rPr>
                <w:rFonts w:hint="default" w:eastAsia="仿宋_GB2312"/>
                <w:sz w:val="24"/>
              </w:rPr>
              <w:t xml:space="preserve"> 项；其中：国家级项目 </w:t>
            </w:r>
            <w:r>
              <w:rPr>
                <w:rFonts w:hint="eastAsia" w:eastAsia="仿宋_GB2312"/>
                <w:sz w:val="24"/>
                <w:lang w:val="en-US" w:eastAsia="zh-CN"/>
              </w:rPr>
              <w:t>0</w:t>
            </w:r>
            <w:r>
              <w:rPr>
                <w:rFonts w:hint="default" w:eastAsia="仿宋_GB2312"/>
                <w:sz w:val="24"/>
              </w:rPr>
              <w:t xml:space="preserve"> 项，省部级项目  </w:t>
            </w:r>
            <w:r>
              <w:rPr>
                <w:rFonts w:hint="eastAsia" w:eastAsia="仿宋_GB2312"/>
                <w:sz w:val="24"/>
                <w:lang w:val="en-US" w:eastAsia="zh-CN"/>
              </w:rPr>
              <w:t>0</w:t>
            </w:r>
            <w:r>
              <w:rPr>
                <w:rFonts w:hint="default" w:eastAsia="仿宋_GB2312"/>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近三年拥有教学科研经费共  </w:t>
            </w:r>
            <w:r>
              <w:rPr>
                <w:rFonts w:hint="eastAsia" w:eastAsia="仿宋_GB2312"/>
                <w:sz w:val="24"/>
                <w:lang w:val="en-US" w:eastAsia="zh-CN"/>
              </w:rPr>
              <w:t>1.5</w:t>
            </w:r>
            <w:r>
              <w:rPr>
                <w:rFonts w:hint="default" w:eastAsia="仿宋_GB2312"/>
                <w:sz w:val="24"/>
              </w:rPr>
              <w:t xml:space="preserve">  万元， 年均    </w:t>
            </w:r>
            <w:r>
              <w:rPr>
                <w:rFonts w:hint="eastAsia" w:eastAsia="仿宋_GB2312"/>
                <w:sz w:val="24"/>
                <w:lang w:val="en-US" w:eastAsia="zh-CN"/>
              </w:rPr>
              <w:t>0.5</w:t>
            </w:r>
            <w:r>
              <w:rPr>
                <w:rFonts w:hint="default"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近三年给本科生授课（理论教学）共  </w:t>
            </w:r>
            <w:r>
              <w:rPr>
                <w:rFonts w:hint="eastAsia" w:eastAsia="仿宋_GB2312"/>
                <w:sz w:val="24"/>
                <w:lang w:val="en-US" w:eastAsia="zh-CN"/>
              </w:rPr>
              <w:t>108</w:t>
            </w:r>
            <w:r>
              <w:rPr>
                <w:rFonts w:hint="default" w:eastAsia="仿宋_GB2312"/>
                <w:sz w:val="24"/>
              </w:rPr>
              <w:t xml:space="preserve">  学时；指导本科毕业设计共  </w:t>
            </w:r>
            <w:r>
              <w:rPr>
                <w:rFonts w:hint="eastAsia" w:eastAsia="仿宋_GB2312"/>
                <w:sz w:val="24"/>
                <w:lang w:val="en-US" w:eastAsia="zh-CN"/>
              </w:rPr>
              <w:t>0</w:t>
            </w:r>
            <w:r>
              <w:rPr>
                <w:rFonts w:hint="default"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8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最具代表性的教学科研成果（4项以内）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等级及签发单位、时间</w:t>
            </w:r>
          </w:p>
        </w:tc>
        <w:tc>
          <w:tcPr>
            <w:tcW w:w="9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美藤果油中甾醇对核桃油氧化稳定性的影响</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sz w:val="24"/>
                <w:lang w:val="en-US" w:eastAsia="zh-CN"/>
              </w:rPr>
            </w:pPr>
            <w:r>
              <w:rPr>
                <w:rFonts w:hint="eastAsia" w:eastAsia="仿宋_GB2312"/>
                <w:sz w:val="24"/>
                <w:lang w:val="en-US" w:eastAsia="zh-CN"/>
              </w:rPr>
              <w:t xml:space="preserve">核心 </w:t>
            </w:r>
            <w:r>
              <w:rPr>
                <w:rFonts w:hint="default" w:eastAsia="仿宋_GB2312"/>
                <w:sz w:val="24"/>
              </w:rPr>
              <w:t>中国粮油学报</w:t>
            </w:r>
            <w:r>
              <w:rPr>
                <w:rFonts w:hint="eastAsia" w:eastAsia="仿宋_GB2312"/>
                <w:sz w:val="24"/>
                <w:lang w:val="en-US" w:eastAsia="zh-CN"/>
              </w:rPr>
              <w:t xml:space="preserve">  </w:t>
            </w:r>
            <w:r>
              <w:rPr>
                <w:rFonts w:hint="default" w:eastAsia="仿宋_GB2312"/>
                <w:sz w:val="24"/>
              </w:rPr>
              <w:t>2021</w:t>
            </w:r>
            <w:r>
              <w:rPr>
                <w:rFonts w:hint="eastAsia" w:eastAsia="仿宋_GB2312"/>
                <w:sz w:val="24"/>
                <w:lang w:val="en-US" w:eastAsia="zh-CN"/>
              </w:rPr>
              <w:t>年</w:t>
            </w:r>
          </w:p>
        </w:tc>
        <w:tc>
          <w:tcPr>
            <w:tcW w:w="964"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第二作者</w:t>
            </w:r>
            <w:bookmarkStart w:id="0" w:name="_GoBack"/>
            <w:bookmarkEnd w:id="0"/>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目前承担的主要教学科研项目（4项以内）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经费</w:t>
            </w:r>
          </w:p>
        </w:tc>
        <w:tc>
          <w:tcPr>
            <w:tcW w:w="964"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4"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目前承担的主要教学工作（5门以内）</w:t>
            </w: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2"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课程性质</w:t>
            </w:r>
          </w:p>
        </w:tc>
        <w:tc>
          <w:tcPr>
            <w:tcW w:w="675"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000000" w:themeColor="text1"/>
                <w:sz w:val="24"/>
                <w14:textFill>
                  <w14:solidFill>
                    <w14:schemeClr w14:val="tx1"/>
                  </w14:solidFill>
                </w14:textFill>
              </w:rPr>
            </w:pPr>
            <w:r>
              <w:rPr>
                <w:rFonts w:hint="eastAsia" w:ascii="仿宋_GB2312" w:eastAsia="仿宋_GB2312"/>
                <w:color w:val="000000" w:themeColor="text1"/>
                <w:sz w:val="24"/>
                <w:lang w:val="en-US"/>
                <w14:textFill>
                  <w14:solidFill>
                    <w14:schemeClr w14:val="tx1"/>
                  </w14:solidFill>
                </w14:textFill>
              </w:rPr>
              <w:t>食品化学</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000000" w:themeColor="text1"/>
                <w:sz w:val="24"/>
                <w:lang w:val="en-US" w:eastAsia="zh-CN"/>
                <w14:textFill>
                  <w14:solidFill>
                    <w14:schemeClr w14:val="tx1"/>
                  </w14:solidFill>
                </w14:textFill>
              </w:rPr>
            </w:pPr>
            <w:r>
              <w:rPr>
                <w:rFonts w:hint="eastAsia" w:eastAsia="仿宋_GB2312"/>
                <w:color w:val="000000" w:themeColor="text1"/>
                <w:sz w:val="24"/>
                <w:lang w:val="en-US" w:eastAsia="zh-CN"/>
                <w14:textFill>
                  <w14:solidFill>
                    <w14:schemeClr w14:val="tx1"/>
                  </w14:solidFill>
                </w14:textFill>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48</w:t>
            </w: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2" w:type="pct"/>
            <w:gridSpan w:val="3"/>
            <w:vAlign w:val="center"/>
          </w:tcPr>
          <w:p>
            <w:pPr>
              <w:pStyle w:val="15"/>
              <w:spacing w:line="307" w:lineRule="exact"/>
              <w:jc w:val="both"/>
              <w:rPr>
                <w:rFonts w:ascii="仿宋_GB2312" w:eastAsia="仿宋_GB2312"/>
                <w:color w:val="000000" w:themeColor="text1"/>
                <w:sz w:val="24"/>
                <w14:textFill>
                  <w14:solidFill>
                    <w14:schemeClr w14:val="tx1"/>
                  </w14:solidFill>
                </w14:textFill>
              </w:rPr>
            </w:pPr>
            <w:r>
              <w:rPr>
                <w:rFonts w:hint="eastAsia" w:ascii="仿宋_GB2312" w:eastAsia="仿宋_GB2312"/>
                <w:color w:val="000000" w:themeColor="text1"/>
                <w:sz w:val="24"/>
                <w:lang w:val="en-US"/>
                <w14:textFill>
                  <w14:solidFill>
                    <w14:schemeClr w14:val="tx1"/>
                  </w14:solidFill>
                </w14:textFill>
              </w:rPr>
              <w:t>食品微生物学</w:t>
            </w:r>
          </w:p>
          <w:p>
            <w:pPr>
              <w:keepNext w:val="0"/>
              <w:keepLines w:val="0"/>
              <w:suppressLineNumbers w:val="0"/>
              <w:spacing w:before="0" w:beforeAutospacing="0" w:after="0" w:afterAutospacing="0"/>
              <w:ind w:left="0" w:right="0"/>
              <w:jc w:val="left"/>
              <w:rPr>
                <w:rFonts w:hint="default" w:eastAsia="仿宋_GB2312"/>
                <w:color w:val="000000" w:themeColor="text1"/>
                <w:sz w:val="24"/>
                <w14:textFill>
                  <w14:solidFill>
                    <w14:schemeClr w14:val="tx1"/>
                  </w14:solidFill>
                </w14:textFill>
              </w:rPr>
            </w:pP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000000" w:themeColor="text1"/>
                <w:sz w:val="24"/>
                <w:lang w:val="en-US" w:eastAsia="zh-CN"/>
                <w14:textFill>
                  <w14:solidFill>
                    <w14:schemeClr w14:val="tx1"/>
                  </w14:solidFill>
                </w14:textFill>
              </w:rPr>
            </w:pPr>
            <w:r>
              <w:rPr>
                <w:rFonts w:hint="eastAsia" w:eastAsia="仿宋_GB2312"/>
                <w:color w:val="000000" w:themeColor="text1"/>
                <w:sz w:val="24"/>
                <w:lang w:val="en-US" w:eastAsia="zh-CN"/>
                <w14:textFill>
                  <w14:solidFill>
                    <w14:schemeClr w14:val="tx1"/>
                  </w14:solidFill>
                </w14:textFill>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32</w:t>
            </w: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color w:val="000000" w:themeColor="text1"/>
                <w:sz w:val="24"/>
                <w14:textFill>
                  <w14:solidFill>
                    <w14:schemeClr w14:val="tx1"/>
                  </w14:solidFill>
                </w14:textFill>
              </w:rPr>
            </w:pPr>
            <w:r>
              <w:rPr>
                <w:rFonts w:hint="eastAsia" w:ascii="仿宋_GB2312" w:eastAsia="仿宋_GB2312"/>
                <w:color w:val="000000" w:themeColor="text1"/>
                <w:sz w:val="24"/>
                <w:lang w:val="en-US"/>
                <w14:textFill>
                  <w14:solidFill>
                    <w14:schemeClr w14:val="tx1"/>
                  </w14:solidFill>
                </w14:textFill>
              </w:rPr>
              <w:t>食品微生物检验</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000000" w:themeColor="text1"/>
                <w:sz w:val="24"/>
                <w:lang w:val="en-US" w:eastAsia="zh-CN"/>
                <w14:textFill>
                  <w14:solidFill>
                    <w14:schemeClr w14:val="tx1"/>
                  </w14:solidFill>
                </w14:textFill>
              </w:rPr>
            </w:pPr>
            <w:r>
              <w:rPr>
                <w:rFonts w:hint="eastAsia" w:eastAsia="仿宋_GB2312"/>
                <w:color w:val="000000" w:themeColor="text1"/>
                <w:sz w:val="24"/>
                <w:lang w:val="en-US" w:eastAsia="zh-CN"/>
                <w14:textFill>
                  <w14:solidFill>
                    <w14:schemeClr w14:val="tx1"/>
                  </w14:solidFill>
                </w14:textFill>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45</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28</w:t>
            </w: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lang w:val="en-US" w:eastAsia="zh-CN"/>
              </w:rPr>
            </w:pPr>
            <w:r>
              <w:rPr>
                <w:rFonts w:hint="eastAsia" w:eastAsia="仿宋_GB2312"/>
                <w:sz w:val="24"/>
                <w:lang w:val="en-US" w:eastAsia="zh-CN"/>
              </w:rPr>
              <w:t>核心课程</w:t>
            </w:r>
          </w:p>
        </w:tc>
        <w:tc>
          <w:tcPr>
            <w:tcW w:w="675" w:type="pct"/>
            <w:gridSpan w:val="2"/>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7"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4"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5</w:t>
            </w:r>
          </w:p>
        </w:tc>
        <w:tc>
          <w:tcPr>
            <w:tcW w:w="1262"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5"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                                            签章</w:t>
            </w:r>
          </w:p>
        </w:tc>
      </w:tr>
    </w:tbl>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6.教师基本情况表</w:t>
      </w:r>
    </w:p>
    <w:p>
      <w:pPr>
        <w:spacing w:line="360" w:lineRule="auto"/>
        <w:ind w:firstLine="360" w:firstLineChars="200"/>
        <w:jc w:val="center"/>
        <w:rPr>
          <w:rFonts w:eastAsia="仿宋_GB2312"/>
          <w:sz w:val="18"/>
          <w:szCs w:val="18"/>
        </w:rPr>
      </w:pPr>
    </w:p>
    <w:tbl>
      <w:tblPr>
        <w:tblStyle w:val="6"/>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15"/>
        <w:gridCol w:w="1102"/>
        <w:gridCol w:w="550"/>
        <w:gridCol w:w="536"/>
        <w:gridCol w:w="1051"/>
        <w:gridCol w:w="1622"/>
        <w:gridCol w:w="1399"/>
        <w:gridCol w:w="1339"/>
        <w:gridCol w:w="1368"/>
        <w:gridCol w:w="76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110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姓名</w:t>
            </w:r>
          </w:p>
        </w:tc>
        <w:tc>
          <w:tcPr>
            <w:tcW w:w="55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性别</w:t>
            </w:r>
          </w:p>
        </w:tc>
        <w:tc>
          <w:tcPr>
            <w:tcW w:w="5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年龄</w:t>
            </w:r>
          </w:p>
        </w:tc>
        <w:tc>
          <w:tcPr>
            <w:tcW w:w="1051"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专业技术职务</w:t>
            </w:r>
          </w:p>
        </w:tc>
        <w:tc>
          <w:tcPr>
            <w:tcW w:w="162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highlight w:val="none"/>
              </w:rPr>
              <w:t>第一学历毕业学校、专业、学位</w:t>
            </w:r>
          </w:p>
        </w:tc>
        <w:tc>
          <w:tcPr>
            <w:tcW w:w="139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最后学历毕业学校、专业、学位</w:t>
            </w:r>
          </w:p>
        </w:tc>
        <w:tc>
          <w:tcPr>
            <w:tcW w:w="1339"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现从事专业</w:t>
            </w:r>
          </w:p>
        </w:tc>
        <w:tc>
          <w:tcPr>
            <w:tcW w:w="1368"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拟任课程</w:t>
            </w:r>
          </w:p>
        </w:tc>
        <w:tc>
          <w:tcPr>
            <w:tcW w:w="766" w:type="dxa"/>
            <w:vAlign w:val="center"/>
          </w:tcPr>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专职</w:t>
            </w:r>
          </w:p>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34" w:hRule="exact"/>
          <w:jc w:val="center"/>
        </w:trPr>
        <w:tc>
          <w:tcPr>
            <w:tcW w:w="5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w:t>
            </w:r>
          </w:p>
        </w:tc>
        <w:tc>
          <w:tcPr>
            <w:tcW w:w="1102"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b/>
                <w:bCs w:val="0"/>
                <w:kern w:val="0"/>
                <w:sz w:val="24"/>
                <w:szCs w:val="24"/>
                <w:lang w:val="en-US" w:eastAsia="en-US" w:bidi="ar-SA"/>
              </w:rPr>
            </w:pPr>
            <w:r>
              <w:rPr>
                <w:rFonts w:hint="default" w:ascii="Times New Roman" w:hAnsi="Times New Roman" w:eastAsia="仿宋_GB2312" w:cs="仿宋_GB2312"/>
                <w:kern w:val="0"/>
                <w:sz w:val="24"/>
                <w:szCs w:val="24"/>
                <w:lang w:val="en-US" w:eastAsia="zh-CN" w:bidi="ar"/>
              </w:rPr>
              <w:t>王功伍</w:t>
            </w:r>
          </w:p>
        </w:tc>
        <w:tc>
          <w:tcPr>
            <w:tcW w:w="55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b/>
                <w:bCs w:val="0"/>
                <w:kern w:val="0"/>
                <w:sz w:val="24"/>
                <w:szCs w:val="24"/>
                <w:lang w:val="en-US" w:eastAsia="en-US" w:bidi="ar-SA"/>
              </w:rPr>
            </w:pPr>
            <w:r>
              <w:rPr>
                <w:rFonts w:hint="default" w:ascii="Times New Roman" w:hAnsi="Times New Roman" w:eastAsia="仿宋_GB2312" w:cs="仿宋_GB2312"/>
                <w:kern w:val="0"/>
                <w:sz w:val="24"/>
                <w:szCs w:val="24"/>
                <w:lang w:val="en-US" w:eastAsia="zh-CN" w:bidi="ar"/>
              </w:rPr>
              <w:t>男</w:t>
            </w:r>
          </w:p>
        </w:tc>
        <w:tc>
          <w:tcPr>
            <w:tcW w:w="536"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
              </w:rPr>
              <w:t>4</w:t>
            </w:r>
            <w:r>
              <w:rPr>
                <w:rFonts w:hint="eastAsia" w:ascii="Times New Roman" w:hAnsi="Times New Roman" w:eastAsia="仿宋_GB2312" w:cs="Times New Roman"/>
                <w:kern w:val="2"/>
                <w:sz w:val="24"/>
                <w:szCs w:val="24"/>
                <w:lang w:val="en-US" w:eastAsia="zh-CN" w:bidi="ar"/>
              </w:rPr>
              <w:t>9</w:t>
            </w:r>
          </w:p>
        </w:tc>
        <w:tc>
          <w:tcPr>
            <w:tcW w:w="1051"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default" w:ascii="Times New Roman" w:hAnsi="Times New Roman" w:eastAsia="仿宋_GB2312" w:cs="仿宋_GB2312"/>
                <w:kern w:val="0"/>
                <w:sz w:val="24"/>
                <w:szCs w:val="24"/>
                <w:lang w:val="en-US" w:eastAsia="zh-CN" w:bidi="ar"/>
              </w:rPr>
              <w:t>教授</w:t>
            </w:r>
          </w:p>
        </w:tc>
        <w:tc>
          <w:tcPr>
            <w:tcW w:w="1622" w:type="dxa"/>
            <w:vAlign w:val="center"/>
          </w:tcPr>
          <w:p>
            <w:pPr>
              <w:pStyle w:val="15"/>
              <w:ind w:left="0" w:leftChars="0" w:right="0" w:rightChars="0"/>
              <w:jc w:val="center"/>
              <w:rPr>
                <w:rFonts w:hint="default" w:ascii="Times New Roman" w:hAnsi="Times New Roman" w:eastAsia="仿宋_GB2312"/>
                <w:sz w:val="24"/>
                <w:szCs w:val="24"/>
                <w:lang w:val="en-US" w:eastAsia="zh-CN"/>
              </w:rPr>
            </w:pPr>
            <w:r>
              <w:rPr>
                <w:rFonts w:hint="eastAsia" w:ascii="Times New Roman" w:hAnsi="Times New Roman" w:eastAsia="仿宋_GB2312"/>
                <w:sz w:val="24"/>
                <w:szCs w:val="24"/>
              </w:rPr>
              <w:t>中国科学院昆明动物研究</w:t>
            </w:r>
            <w:r>
              <w:rPr>
                <w:rFonts w:hint="eastAsia" w:ascii="Times New Roman" w:hAnsi="Times New Roman" w:eastAsia="仿宋_GB2312"/>
                <w:sz w:val="24"/>
                <w:szCs w:val="24"/>
                <w:lang w:val="en-US" w:eastAsia="zh-CN"/>
              </w:rPr>
              <w:t>所；</w:t>
            </w:r>
            <w:r>
              <w:rPr>
                <w:rFonts w:hint="eastAsia" w:ascii="Times New Roman" w:hAnsi="Times New Roman" w:eastAsia="仿宋_GB2312"/>
                <w:sz w:val="24"/>
                <w:szCs w:val="24"/>
              </w:rPr>
              <w:t>神经生物学</w:t>
            </w:r>
            <w:r>
              <w:rPr>
                <w:rFonts w:hint="eastAsia" w:ascii="Times New Roman" w:hAnsi="Times New Roman" w:eastAsia="仿宋_GB2312"/>
                <w:sz w:val="24"/>
                <w:szCs w:val="24"/>
                <w:lang w:eastAsia="zh-CN"/>
              </w:rPr>
              <w:t>；</w:t>
            </w:r>
            <w:r>
              <w:rPr>
                <w:rFonts w:hint="eastAsia" w:ascii="Times New Roman" w:hAnsi="Times New Roman" w:eastAsia="仿宋_GB2312"/>
                <w:sz w:val="24"/>
                <w:szCs w:val="24"/>
                <w:lang w:val="en-US" w:eastAsia="zh-CN"/>
              </w:rPr>
              <w:t>学士</w:t>
            </w: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p>
        </w:tc>
        <w:tc>
          <w:tcPr>
            <w:tcW w:w="1399" w:type="dxa"/>
            <w:vAlign w:val="top"/>
          </w:tcPr>
          <w:p>
            <w:pPr>
              <w:pStyle w:val="15"/>
              <w:ind w:left="0" w:leftChars="0" w:right="0" w:rightChars="0"/>
              <w:jc w:val="center"/>
              <w:rPr>
                <w:rFonts w:hint="default" w:ascii="Times New Roman" w:hAnsi="Times New Roman" w:eastAsia="仿宋_GB2312"/>
                <w:sz w:val="24"/>
                <w:szCs w:val="24"/>
                <w:lang w:val="en-US" w:eastAsia="zh-CN"/>
              </w:rPr>
            </w:pPr>
            <w:r>
              <w:rPr>
                <w:rFonts w:hint="eastAsia" w:ascii="Times New Roman" w:hAnsi="Times New Roman" w:eastAsia="仿宋_GB2312"/>
                <w:sz w:val="24"/>
                <w:szCs w:val="24"/>
              </w:rPr>
              <w:t>中国科学院昆明动物研究</w:t>
            </w:r>
            <w:r>
              <w:rPr>
                <w:rFonts w:hint="eastAsia" w:ascii="Times New Roman" w:hAnsi="Times New Roman" w:eastAsia="仿宋_GB2312"/>
                <w:sz w:val="24"/>
                <w:szCs w:val="24"/>
                <w:lang w:val="en-US" w:eastAsia="zh-CN"/>
              </w:rPr>
              <w:t xml:space="preserve">所；  </w:t>
            </w:r>
            <w:r>
              <w:rPr>
                <w:rFonts w:hint="eastAsia" w:ascii="Times New Roman" w:hAnsi="Times New Roman" w:eastAsia="仿宋_GB2312"/>
                <w:sz w:val="24"/>
                <w:szCs w:val="24"/>
              </w:rPr>
              <w:t>神经生物学</w:t>
            </w:r>
            <w:r>
              <w:rPr>
                <w:rFonts w:hint="eastAsia" w:ascii="Times New Roman" w:hAnsi="Times New Roman" w:eastAsia="仿宋_GB2312"/>
                <w:sz w:val="24"/>
                <w:szCs w:val="24"/>
                <w:lang w:val="en-US" w:eastAsia="zh-CN"/>
              </w:rPr>
              <w:t xml:space="preserve"> ；学士</w:t>
            </w:r>
          </w:p>
          <w:p>
            <w:pPr>
              <w:pStyle w:val="15"/>
              <w:ind w:left="0" w:leftChars="0" w:right="0" w:rightChars="0"/>
              <w:jc w:val="center"/>
              <w:rPr>
                <w:rFonts w:hint="default" w:ascii="Times New Roman" w:hAnsi="Times New Roman" w:eastAsia="仿宋_GB2312" w:cs="宋体"/>
                <w:kern w:val="0"/>
                <w:sz w:val="24"/>
                <w:szCs w:val="24"/>
                <w:lang w:val="en-US" w:eastAsia="zh-CN" w:bidi="ar-SA"/>
              </w:rPr>
            </w:pPr>
            <w:r>
              <w:rPr>
                <w:rFonts w:hint="eastAsia" w:ascii="Times New Roman" w:hAnsi="Times New Roman" w:eastAsia="仿宋_GB2312"/>
                <w:sz w:val="24"/>
                <w:szCs w:val="24"/>
                <w:lang w:val="en-US" w:eastAsia="zh-CN"/>
              </w:rPr>
              <w:t>博士</w:t>
            </w:r>
          </w:p>
        </w:tc>
        <w:tc>
          <w:tcPr>
            <w:tcW w:w="1339" w:type="dxa"/>
            <w:vAlign w:val="top"/>
          </w:tcPr>
          <w:p>
            <w:pPr>
              <w:keepNext w:val="0"/>
              <w:keepLines w:val="0"/>
              <w:widowControl w:val="0"/>
              <w:suppressLineNumbers w:val="0"/>
              <w:spacing w:before="0" w:beforeAutospacing="0" w:after="0" w:afterAutospacing="0"/>
              <w:ind w:left="0" w:leftChars="0" w:right="0" w:rightChars="0"/>
              <w:jc w:val="center"/>
              <w:rPr>
                <w:rFonts w:hint="eastAsia" w:eastAsia="仿宋_GB2312" w:cs="Times New Roman"/>
                <w:kern w:val="2"/>
                <w:sz w:val="24"/>
                <w:szCs w:val="24"/>
                <w:lang w:val="en-US" w:eastAsia="zh-CN" w:bidi="ar-SA"/>
              </w:rPr>
            </w:pPr>
          </w:p>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cs="Times New Roman"/>
                <w:kern w:val="2"/>
                <w:sz w:val="24"/>
                <w:szCs w:val="24"/>
                <w:lang w:val="en-US" w:eastAsia="zh-CN" w:bidi="ar-SA"/>
              </w:rPr>
            </w:pPr>
            <w:r>
              <w:rPr>
                <w:rFonts w:hint="eastAsia" w:eastAsia="仿宋_GB2312" w:cs="Times New Roman"/>
                <w:kern w:val="2"/>
                <w:sz w:val="24"/>
                <w:szCs w:val="24"/>
                <w:lang w:val="en-US" w:eastAsia="zh-CN" w:bidi="ar-SA"/>
              </w:rPr>
              <w:t>生理学</w:t>
            </w:r>
          </w:p>
        </w:tc>
        <w:tc>
          <w:tcPr>
            <w:tcW w:w="136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eastAsia" w:ascii="Times New Roman" w:hAnsi="Times New Roman" w:eastAsia="仿宋_GB2312" w:cs="宋体"/>
                <w:kern w:val="0"/>
                <w:sz w:val="24"/>
                <w:szCs w:val="24"/>
                <w:lang w:val="en-US" w:eastAsia="zh-CN" w:bidi="ar"/>
              </w:rPr>
              <w:t>人体解剖与组织胚胎学、生理学</w:t>
            </w:r>
          </w:p>
        </w:tc>
        <w:tc>
          <w:tcPr>
            <w:tcW w:w="766"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kern w:val="0"/>
                <w:sz w:val="24"/>
                <w:szCs w:val="24"/>
                <w:lang w:val="en-US" w:eastAsia="zh-CN" w:bidi="ar"/>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4"/>
                <w:szCs w:val="24"/>
                <w:lang w:val="en-US" w:eastAsia="en-US" w:bidi="ar-SA"/>
              </w:rPr>
            </w:pPr>
            <w:r>
              <w:rPr>
                <w:rFonts w:hint="default" w:ascii="Times New Roman" w:hAnsi="Times New Roman" w:eastAsia="仿宋_GB2312" w:cs="仿宋_GB2312"/>
                <w:kern w:val="0"/>
                <w:sz w:val="24"/>
                <w:szCs w:val="24"/>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4" w:hRule="exact"/>
          <w:jc w:val="center"/>
        </w:trPr>
        <w:tc>
          <w:tcPr>
            <w:tcW w:w="5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szCs w:val="24"/>
              </w:rPr>
            </w:pPr>
            <w:r>
              <w:rPr>
                <w:rFonts w:hint="default" w:ascii="Times New Roman" w:hAnsi="Times New Roman" w:eastAsia="仿宋_GB2312"/>
                <w:sz w:val="24"/>
                <w:szCs w:val="24"/>
              </w:rPr>
              <w:t>2</w:t>
            </w:r>
          </w:p>
        </w:tc>
        <w:tc>
          <w:tcPr>
            <w:tcW w:w="1102"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王晓琴</w:t>
            </w:r>
          </w:p>
        </w:tc>
        <w:tc>
          <w:tcPr>
            <w:tcW w:w="55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zh-CN"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女</w:t>
            </w:r>
          </w:p>
        </w:tc>
        <w:tc>
          <w:tcPr>
            <w:tcW w:w="53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Arial"/>
                <w:i w:val="0"/>
                <w:iCs w:val="0"/>
                <w:color w:val="000000" w:themeColor="text1"/>
                <w:kern w:val="2"/>
                <w:sz w:val="24"/>
                <w:szCs w:val="24"/>
                <w:u w:val="none"/>
                <w:lang w:val="en-US" w:eastAsia="zh-CN" w:bidi="ar-SA"/>
                <w14:textFill>
                  <w14:solidFill>
                    <w14:schemeClr w14:val="tx1"/>
                  </w14:solidFill>
                </w14:textFill>
              </w:rPr>
            </w:pPr>
            <w:r>
              <w:rPr>
                <w:rFonts w:hint="eastAsia" w:ascii="Times New Roman" w:hAnsi="Times New Roman" w:eastAsia="仿宋_GB2312" w:cs="Arial"/>
                <w:i w:val="0"/>
                <w:iCs w:val="0"/>
                <w:color w:val="000000" w:themeColor="text1"/>
                <w:kern w:val="0"/>
                <w:sz w:val="24"/>
                <w:szCs w:val="24"/>
                <w:u w:val="none"/>
                <w:lang w:val="en-US" w:eastAsia="zh-CN" w:bidi="ar"/>
                <w14:textFill>
                  <w14:solidFill>
                    <w14:schemeClr w14:val="tx1"/>
                  </w14:solidFill>
                </w14:textFill>
              </w:rPr>
              <w:t>4</w:t>
            </w:r>
            <w:r>
              <w:rPr>
                <w:rFonts w:hint="default" w:ascii="Times New Roman" w:hAnsi="Times New Roman" w:eastAsia="仿宋_GB2312" w:cs="Arial"/>
                <w:i w:val="0"/>
                <w:iCs w:val="0"/>
                <w:color w:val="000000" w:themeColor="text1"/>
                <w:kern w:val="0"/>
                <w:sz w:val="24"/>
                <w:szCs w:val="24"/>
                <w:u w:val="none"/>
                <w:lang w:val="en-US" w:eastAsia="zh-CN" w:bidi="ar"/>
                <w14:textFill>
                  <w14:solidFill>
                    <w14:schemeClr w14:val="tx1"/>
                  </w14:solidFill>
                </w14:textFill>
              </w:rPr>
              <w:t>5</w:t>
            </w:r>
          </w:p>
        </w:tc>
        <w:tc>
          <w:tcPr>
            <w:tcW w:w="1051"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副教授</w:t>
            </w:r>
          </w:p>
        </w:tc>
        <w:tc>
          <w:tcPr>
            <w:tcW w:w="1622" w:type="dxa"/>
            <w:vAlign w:val="center"/>
          </w:tcPr>
          <w:p>
            <w:pPr>
              <w:pStyle w:val="15"/>
              <w:ind w:left="0" w:leftChars="0" w:right="0" w:rightChars="0"/>
              <w:jc w:val="both"/>
              <w:rPr>
                <w:rFonts w:hint="eastAsia"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西华师范</w:t>
            </w:r>
            <w:r>
              <w:rPr>
                <w:rFonts w:hint="eastAsia" w:ascii="Times New Roman" w:hAnsi="Times New Roman" w:eastAsia="仿宋_GB2312"/>
                <w:color w:val="000000" w:themeColor="text1"/>
                <w:sz w:val="24"/>
                <w:szCs w:val="24"/>
                <w:lang w:val="en-US" w:eastAsia="zh-CN"/>
                <w14:textFill>
                  <w14:solidFill>
                    <w14:schemeClr w14:val="tx1"/>
                  </w14:solidFill>
                </w14:textFill>
              </w:rPr>
              <w:t>大</w:t>
            </w:r>
            <w:r>
              <w:rPr>
                <w:rFonts w:hint="eastAsia" w:ascii="Times New Roman" w:hAnsi="Times New Roman" w:eastAsia="仿宋_GB2312"/>
                <w:color w:val="000000" w:themeColor="text1"/>
                <w:sz w:val="24"/>
                <w:szCs w:val="24"/>
                <w14:textFill>
                  <w14:solidFill>
                    <w14:schemeClr w14:val="tx1"/>
                  </w14:solidFill>
                </w14:textFill>
              </w:rPr>
              <w:t>学</w:t>
            </w:r>
            <w:r>
              <w:rPr>
                <w:rFonts w:hint="eastAsia" w:ascii="Times New Roman" w:hAnsi="Times New Roman"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动物学；</w:t>
            </w:r>
          </w:p>
          <w:p>
            <w:pPr>
              <w:pStyle w:val="15"/>
              <w:ind w:left="0" w:leftChars="0" w:right="0" w:rightChars="0"/>
              <w:jc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学士</w:t>
            </w:r>
          </w:p>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p>
        </w:tc>
        <w:tc>
          <w:tcPr>
            <w:tcW w:w="1399" w:type="dxa"/>
            <w:vAlign w:val="top"/>
          </w:tcPr>
          <w:p>
            <w:pPr>
              <w:pStyle w:val="15"/>
              <w:ind w:left="0" w:leftChars="0" w:right="0" w:rightChars="0"/>
              <w:jc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西华师范大学</w:t>
            </w:r>
            <w:r>
              <w:rPr>
                <w:rFonts w:hint="eastAsia" w:ascii="Times New Roman" w:hAnsi="Times New Roman"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动物学； 硕士</w:t>
            </w:r>
          </w:p>
          <w:p>
            <w:pPr>
              <w:pStyle w:val="15"/>
              <w:ind w:left="0" w:leftChars="0" w:right="0" w:rightChars="0"/>
              <w:jc w:val="center"/>
              <w:rPr>
                <w:rFonts w:hint="eastAsia" w:ascii="Times New Roman" w:hAnsi="Times New Roman" w:eastAsia="仿宋_GB2312"/>
                <w:color w:val="000000" w:themeColor="text1"/>
                <w:sz w:val="24"/>
                <w:szCs w:val="24"/>
                <w:lang w:val="en-US" w:eastAsia="zh-CN"/>
                <w14:textFill>
                  <w14:solidFill>
                    <w14:schemeClr w14:val="tx1"/>
                  </w14:solidFill>
                </w14:textFill>
              </w:rPr>
            </w:pPr>
          </w:p>
        </w:tc>
        <w:tc>
          <w:tcPr>
            <w:tcW w:w="1339" w:type="dxa"/>
          </w:tcPr>
          <w:p>
            <w:pPr>
              <w:keepNext w:val="0"/>
              <w:keepLines w:val="0"/>
              <w:suppressLineNumbers w:val="0"/>
              <w:spacing w:before="0" w:beforeAutospacing="0" w:after="0" w:afterAutospacing="0"/>
              <w:ind w:left="0" w:right="0"/>
              <w:jc w:val="center"/>
              <w:rPr>
                <w:rFonts w:hint="eastAsia" w:eastAsia="仿宋_GB2312"/>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jc w:val="center"/>
              <w:rPr>
                <w:rFonts w:hint="eastAsia" w:ascii="Times New Roman" w:hAnsi="Times New Roman"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运动人体科学</w:t>
            </w:r>
          </w:p>
        </w:tc>
        <w:tc>
          <w:tcPr>
            <w:tcW w:w="136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食品营养与健康科学、营养与代谢</w:t>
            </w:r>
          </w:p>
        </w:tc>
        <w:tc>
          <w:tcPr>
            <w:tcW w:w="766"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pPr>
            <w: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t xml:space="preserve">  </w:t>
            </w: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63" w:hRule="exact"/>
          <w:jc w:val="center"/>
        </w:trPr>
        <w:tc>
          <w:tcPr>
            <w:tcW w:w="51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3</w:t>
            </w:r>
          </w:p>
        </w:tc>
        <w:tc>
          <w:tcPr>
            <w:tcW w:w="1102"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孙云</w:t>
            </w:r>
          </w:p>
        </w:tc>
        <w:tc>
          <w:tcPr>
            <w:tcW w:w="55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男</w:t>
            </w:r>
          </w:p>
        </w:tc>
        <w:tc>
          <w:tcPr>
            <w:tcW w:w="53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Arial"/>
                <w:i w:val="0"/>
                <w:iCs w:val="0"/>
                <w:color w:val="000000" w:themeColor="text1"/>
                <w:kern w:val="2"/>
                <w:sz w:val="24"/>
                <w:szCs w:val="24"/>
                <w:u w:val="none"/>
                <w:lang w:val="en-US" w:eastAsia="zh-CN" w:bidi="ar-SA"/>
                <w14:textFill>
                  <w14:solidFill>
                    <w14:schemeClr w14:val="tx1"/>
                  </w14:solidFill>
                </w14:textFill>
              </w:rPr>
            </w:pPr>
            <w:r>
              <w:rPr>
                <w:rFonts w:hint="eastAsia" w:ascii="Times New Roman" w:hAnsi="Times New Roman" w:eastAsia="仿宋_GB2312" w:cs="Arial"/>
                <w:i w:val="0"/>
                <w:iCs w:val="0"/>
                <w:color w:val="000000" w:themeColor="text1"/>
                <w:kern w:val="2"/>
                <w:sz w:val="24"/>
                <w:szCs w:val="24"/>
                <w:u w:val="none"/>
                <w:lang w:val="en-US" w:eastAsia="zh-CN" w:bidi="ar-SA"/>
                <w14:textFill>
                  <w14:solidFill>
                    <w14:schemeClr w14:val="tx1"/>
                  </w14:solidFill>
                </w14:textFill>
              </w:rPr>
              <w:t>61</w:t>
            </w:r>
          </w:p>
        </w:tc>
        <w:tc>
          <w:tcPr>
            <w:tcW w:w="1051"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副教授</w:t>
            </w:r>
          </w:p>
        </w:tc>
        <w:tc>
          <w:tcPr>
            <w:tcW w:w="1622"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天津轻工业学院</w:t>
            </w:r>
            <w:r>
              <w:rPr>
                <w:rFonts w:hint="eastAsia" w:ascii="Times New Roman" w:hAnsi="Times New Roman" w:eastAsia="仿宋_GB2312"/>
                <w:color w:val="000000" w:themeColor="text1"/>
                <w:sz w:val="24"/>
                <w:szCs w:val="24"/>
                <w:lang w:val="en-US" w:eastAsia="zh-CN"/>
                <w14:textFill>
                  <w14:solidFill>
                    <w14:schemeClr w14:val="tx1"/>
                  </w14:solidFill>
                </w14:textFill>
              </w:rPr>
              <w:t xml:space="preserve"> </w:t>
            </w:r>
            <w:r>
              <w:rPr>
                <w:rFonts w:hint="eastAsia" w:eastAsia="仿宋_GB2312"/>
                <w:color w:val="000000" w:themeColor="text1"/>
                <w:sz w:val="24"/>
                <w:szCs w:val="24"/>
                <w:lang w:val="en-US"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食品工程</w:t>
            </w:r>
            <w:r>
              <w:rPr>
                <w:rFonts w:hint="eastAsia" w:eastAsia="仿宋_GB2312"/>
                <w:color w:val="000000" w:themeColor="text1"/>
                <w:sz w:val="24"/>
                <w:szCs w:val="24"/>
                <w:lang w:val="en-US"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学士</w:t>
            </w:r>
          </w:p>
        </w:tc>
        <w:tc>
          <w:tcPr>
            <w:tcW w:w="1399" w:type="dxa"/>
            <w:vAlign w:val="top"/>
          </w:tcPr>
          <w:p>
            <w:pPr>
              <w:pStyle w:val="15"/>
              <w:ind w:left="0" w:leftChars="0" w:right="0" w:rightChars="0"/>
              <w:jc w:val="center"/>
              <w:rPr>
                <w:rFonts w:hint="eastAsia" w:ascii="Times New Roman" w:hAnsi="Times New Roman" w:eastAsia="仿宋_GB2312"/>
                <w:color w:val="000000" w:themeColor="text1"/>
                <w:sz w:val="24"/>
                <w:szCs w:val="24"/>
                <w14:textFill>
                  <w14:solidFill>
                    <w14:schemeClr w14:val="tx1"/>
                  </w14:solidFill>
                </w14:textFill>
              </w:rPr>
            </w:pPr>
          </w:p>
          <w:p>
            <w:pPr>
              <w:pStyle w:val="15"/>
              <w:ind w:left="0" w:leftChars="0" w:right="0" w:rightChars="0"/>
              <w:jc w:val="center"/>
              <w:rPr>
                <w:rFonts w:hint="default"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天津轻工业学院</w:t>
            </w:r>
            <w:r>
              <w:rPr>
                <w:rFonts w:hint="eastAsia" w:ascii="Times New Roman" w:hAnsi="Times New Roman" w:eastAsia="仿宋_GB2312"/>
                <w:color w:val="000000" w:themeColor="text1"/>
                <w:sz w:val="24"/>
                <w:szCs w:val="24"/>
                <w:lang w:val="en-US" w:eastAsia="zh-CN"/>
                <w14:textFill>
                  <w14:solidFill>
                    <w14:schemeClr w14:val="tx1"/>
                  </w14:solidFill>
                </w14:textFill>
              </w:rPr>
              <w:t xml:space="preserve"> ； 食品工程； 硕士</w:t>
            </w:r>
          </w:p>
        </w:tc>
        <w:tc>
          <w:tcPr>
            <w:tcW w:w="1339" w:type="dxa"/>
          </w:tcPr>
          <w:p>
            <w:pPr>
              <w:keepNext w:val="0"/>
              <w:keepLines w:val="0"/>
              <w:suppressLineNumbers w:val="0"/>
              <w:spacing w:before="0" w:beforeAutospacing="0" w:after="0" w:afterAutospacing="0"/>
              <w:ind w:left="0" w:right="0"/>
              <w:jc w:val="center"/>
              <w:rPr>
                <w:rFonts w:hint="eastAsia" w:eastAsia="仿宋_GB2312"/>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jc w:val="center"/>
              <w:rPr>
                <w:rFonts w:hint="eastAsia" w:eastAsia="仿宋_GB2312"/>
                <w:color w:val="000000" w:themeColor="text1"/>
                <w:sz w:val="24"/>
                <w:szCs w:val="24"/>
                <w:lang w:val="en-US" w:eastAsia="zh-CN"/>
                <w14:textFill>
                  <w14:solidFill>
                    <w14:schemeClr w14:val="tx1"/>
                  </w14:solidFill>
                </w14:textFill>
              </w:rPr>
            </w:pPr>
          </w:p>
          <w:p>
            <w:pPr>
              <w:keepNext w:val="0"/>
              <w:keepLines w:val="0"/>
              <w:suppressLineNumbers w:val="0"/>
              <w:spacing w:before="0" w:beforeAutospacing="0" w:after="0" w:afterAutospacing="0"/>
              <w:ind w:left="0" w:right="0"/>
              <w:jc w:val="center"/>
              <w:rPr>
                <w:rFonts w:hint="eastAsia" w:ascii="Times New Roman" w:hAnsi="Times New Roman"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食品工程</w:t>
            </w:r>
          </w:p>
        </w:tc>
        <w:tc>
          <w:tcPr>
            <w:tcW w:w="136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食品与营养科学研究方法，营养与健康大数据管理</w:t>
            </w:r>
          </w:p>
        </w:tc>
        <w:tc>
          <w:tcPr>
            <w:tcW w:w="766"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4" w:hRule="exact"/>
          <w:jc w:val="center"/>
        </w:trPr>
        <w:tc>
          <w:tcPr>
            <w:tcW w:w="51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4</w:t>
            </w:r>
          </w:p>
        </w:tc>
        <w:tc>
          <w:tcPr>
            <w:tcW w:w="1102"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戚冬红</w:t>
            </w:r>
          </w:p>
        </w:tc>
        <w:tc>
          <w:tcPr>
            <w:tcW w:w="55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女</w:t>
            </w:r>
          </w:p>
        </w:tc>
        <w:tc>
          <w:tcPr>
            <w:tcW w:w="53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Arial"/>
                <w:i w:val="0"/>
                <w:iCs w:val="0"/>
                <w:color w:val="000000" w:themeColor="text1"/>
                <w:kern w:val="2"/>
                <w:sz w:val="24"/>
                <w:szCs w:val="24"/>
                <w:u w:val="none"/>
                <w:lang w:val="en-US" w:eastAsia="zh-CN" w:bidi="ar-SA"/>
                <w14:textFill>
                  <w14:solidFill>
                    <w14:schemeClr w14:val="tx1"/>
                  </w14:solidFill>
                </w14:textFill>
              </w:rPr>
            </w:pPr>
            <w:r>
              <w:rPr>
                <w:rFonts w:hint="eastAsia" w:ascii="Times New Roman" w:hAnsi="Times New Roman" w:eastAsia="仿宋_GB2312" w:cs="Arial"/>
                <w:i w:val="0"/>
                <w:iCs w:val="0"/>
                <w:color w:val="000000" w:themeColor="text1"/>
                <w:kern w:val="2"/>
                <w:sz w:val="24"/>
                <w:szCs w:val="24"/>
                <w:u w:val="none"/>
                <w:lang w:val="en-US" w:eastAsia="zh-CN" w:bidi="ar-SA"/>
                <w14:textFill>
                  <w14:solidFill>
                    <w14:schemeClr w14:val="tx1"/>
                  </w14:solidFill>
                </w14:textFill>
              </w:rPr>
              <w:t>56</w:t>
            </w:r>
          </w:p>
        </w:tc>
        <w:tc>
          <w:tcPr>
            <w:tcW w:w="1051"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副教授</w:t>
            </w:r>
          </w:p>
        </w:tc>
        <w:tc>
          <w:tcPr>
            <w:tcW w:w="1622" w:type="dxa"/>
            <w:vAlign w:val="center"/>
          </w:tcPr>
          <w:p>
            <w:pPr>
              <w:pStyle w:val="5"/>
              <w:keepNext w:val="0"/>
              <w:keepLines w:val="0"/>
              <w:widowControl w:val="0"/>
              <w:suppressLineNumbers w:val="0"/>
              <w:autoSpaceDE w:val="0"/>
              <w:autoSpaceDN w:val="0"/>
              <w:spacing w:before="0" w:beforeAutospacing="0" w:after="0" w:afterAutospacing="0"/>
              <w:ind w:left="0" w:leftChars="0" w:right="0" w:rightChars="0"/>
              <w:jc w:val="both"/>
              <w:rPr>
                <w:rFonts w:hint="default" w:ascii="Times New Roman" w:hAnsi="Times New Roman" w:eastAsia="仿宋_GB2312"/>
                <w:color w:val="000000" w:themeColor="text1"/>
                <w:sz w:val="24"/>
                <w:szCs w:val="24"/>
                <w:lang w:val="en-US"/>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昆明理工大学</w:t>
            </w:r>
            <w: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t>；</w:t>
            </w:r>
            <w:r>
              <w:rPr>
                <w:rFonts w:hint="default" w:ascii="Times New Roman" w:hAnsi="Times New Roman" w:eastAsia="仿宋_GB2312" w:cs="仿宋_GB2312"/>
                <w:color w:val="000000" w:themeColor="text1"/>
                <w:kern w:val="2"/>
                <w:sz w:val="24"/>
                <w:szCs w:val="24"/>
                <w:lang w:val="en-US" w:eastAsia="zh-CN" w:bidi="ar"/>
                <w14:textFill>
                  <w14:solidFill>
                    <w14:schemeClr w14:val="tx1"/>
                  </w14:solidFill>
                </w14:textFill>
              </w:rPr>
              <w:t>过程装备与控制</w:t>
            </w:r>
            <w:r>
              <w:rPr>
                <w:rFonts w:hint="eastAsia" w:ascii="Times New Roman" w:hAnsi="Times New Roman" w:eastAsia="仿宋_GB2312" w:cs="仿宋_GB2312"/>
                <w:color w:val="000000" w:themeColor="text1"/>
                <w:kern w:val="2"/>
                <w:sz w:val="24"/>
                <w:szCs w:val="24"/>
                <w:lang w:val="en-US" w:eastAsia="zh-CN" w:bidi="ar"/>
                <w14:textFill>
                  <w14:solidFill>
                    <w14:schemeClr w14:val="tx1"/>
                  </w14:solidFill>
                </w14:textFill>
              </w:rPr>
              <w:t>；</w:t>
            </w:r>
            <w:r>
              <w:rPr>
                <w:rFonts w:hint="eastAsia" w:ascii="Times New Roman" w:hAnsi="Times New Roman" w:eastAsia="仿宋_GB2312" w:cs="Times New Roman"/>
                <w:color w:val="000000" w:themeColor="text1"/>
                <w:kern w:val="2"/>
                <w:sz w:val="24"/>
                <w:szCs w:val="24"/>
                <w:lang w:val="en-US" w:eastAsia="zh-CN" w:bidi="ar"/>
                <w14:textFill>
                  <w14:solidFill>
                    <w14:schemeClr w14:val="tx1"/>
                  </w14:solidFill>
                </w14:textFill>
              </w:rPr>
              <w:t>学士</w:t>
            </w:r>
          </w:p>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p>
        </w:tc>
        <w:tc>
          <w:tcPr>
            <w:tcW w:w="1399" w:type="dxa"/>
            <w:vAlign w:val="top"/>
          </w:tcPr>
          <w:p>
            <w:pPr>
              <w:pStyle w:val="15"/>
              <w:ind w:left="0" w:leftChars="0" w:right="0" w:rightChars="0"/>
              <w:jc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昆明理工大学</w:t>
            </w:r>
            <w:r>
              <w:rPr>
                <w:rFonts w:hint="eastAsia" w:ascii="Times New Roman" w:hAnsi="Times New Roman"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过程装备与控制</w:t>
            </w:r>
            <w:r>
              <w:rPr>
                <w:rFonts w:hint="eastAsia" w:ascii="Times New Roman" w:hAnsi="Times New Roman"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硕士</w:t>
            </w:r>
          </w:p>
        </w:tc>
        <w:tc>
          <w:tcPr>
            <w:tcW w:w="1339" w:type="dxa"/>
          </w:tcPr>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p>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r>
              <w:rPr>
                <w:rFonts w:hint="default" w:ascii="Times New Roman" w:hAnsi="Times New Roman" w:eastAsia="仿宋_GB2312"/>
                <w:color w:val="000000" w:themeColor="text1"/>
                <w:sz w:val="24"/>
                <w:szCs w:val="24"/>
                <w14:textFill>
                  <w14:solidFill>
                    <w14:schemeClr w14:val="tx1"/>
                  </w14:solidFill>
                </w14:textFill>
              </w:rPr>
              <w:t>过程装备与控制</w:t>
            </w:r>
          </w:p>
        </w:tc>
        <w:tc>
          <w:tcPr>
            <w:tcW w:w="136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食品机械与设备</w:t>
            </w:r>
          </w:p>
        </w:tc>
        <w:tc>
          <w:tcPr>
            <w:tcW w:w="766"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7" w:hRule="exact"/>
          <w:jc w:val="center"/>
        </w:trPr>
        <w:tc>
          <w:tcPr>
            <w:tcW w:w="51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5</w:t>
            </w:r>
          </w:p>
        </w:tc>
        <w:tc>
          <w:tcPr>
            <w:tcW w:w="1102"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谢秀玲</w:t>
            </w:r>
          </w:p>
        </w:tc>
        <w:tc>
          <w:tcPr>
            <w:tcW w:w="55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女</w:t>
            </w:r>
          </w:p>
        </w:tc>
        <w:tc>
          <w:tcPr>
            <w:tcW w:w="536" w:type="dxa"/>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Arial"/>
                <w:i w:val="0"/>
                <w:iCs w:val="0"/>
                <w:color w:val="000000" w:themeColor="text1"/>
                <w:kern w:val="0"/>
                <w:sz w:val="24"/>
                <w:szCs w:val="24"/>
                <w:u w:val="none"/>
                <w:lang w:val="en-US" w:eastAsia="zh-CN" w:bidi="ar"/>
                <w14:textFill>
                  <w14:solidFill>
                    <w14:schemeClr w14:val="tx1"/>
                  </w14:solidFill>
                </w14:textFill>
              </w:rPr>
            </w:pPr>
          </w:p>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Arial"/>
                <w:i w:val="0"/>
                <w:iCs w:val="0"/>
                <w:color w:val="000000" w:themeColor="text1"/>
                <w:kern w:val="2"/>
                <w:sz w:val="24"/>
                <w:szCs w:val="24"/>
                <w:u w:val="none"/>
                <w:lang w:val="en-US" w:eastAsia="zh-CN" w:bidi="ar-SA"/>
                <w14:textFill>
                  <w14:solidFill>
                    <w14:schemeClr w14:val="tx1"/>
                  </w14:solidFill>
                </w14:textFill>
              </w:rPr>
            </w:pPr>
            <w:r>
              <w:rPr>
                <w:rFonts w:hint="default" w:ascii="Times New Roman" w:hAnsi="Times New Roman" w:eastAsia="仿宋_GB2312" w:cs="Arial"/>
                <w:i w:val="0"/>
                <w:iCs w:val="0"/>
                <w:color w:val="000000" w:themeColor="text1"/>
                <w:kern w:val="0"/>
                <w:sz w:val="24"/>
                <w:szCs w:val="24"/>
                <w:u w:val="none"/>
                <w:lang w:val="en-US" w:eastAsia="zh-CN" w:bidi="ar"/>
                <w14:textFill>
                  <w14:solidFill>
                    <w14:schemeClr w14:val="tx1"/>
                  </w14:solidFill>
                </w14:textFill>
              </w:rPr>
              <w:t>3</w:t>
            </w:r>
            <w:r>
              <w:rPr>
                <w:rFonts w:hint="eastAsia" w:ascii="Times New Roman" w:hAnsi="Times New Roman" w:eastAsia="仿宋_GB2312" w:cs="Arial"/>
                <w:i w:val="0"/>
                <w:iCs w:val="0"/>
                <w:color w:val="000000" w:themeColor="text1"/>
                <w:kern w:val="0"/>
                <w:sz w:val="24"/>
                <w:szCs w:val="24"/>
                <w:u w:val="none"/>
                <w:lang w:val="en-US" w:eastAsia="zh-CN" w:bidi="ar"/>
                <w14:textFill>
                  <w14:solidFill>
                    <w14:schemeClr w14:val="tx1"/>
                  </w14:solidFill>
                </w14:textFill>
              </w:rPr>
              <w:t>5</w:t>
            </w:r>
          </w:p>
        </w:tc>
        <w:tc>
          <w:tcPr>
            <w:tcW w:w="1051"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i w:val="0"/>
                <w:iCs w:val="0"/>
                <w:color w:val="000000" w:themeColor="text1"/>
                <w:kern w:val="2"/>
                <w:sz w:val="24"/>
                <w:szCs w:val="24"/>
                <w:u w:val="none"/>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讲师</w:t>
            </w:r>
          </w:p>
        </w:tc>
        <w:tc>
          <w:tcPr>
            <w:tcW w:w="1622" w:type="dxa"/>
            <w:vAlign w:val="center"/>
          </w:tcPr>
          <w:p>
            <w:pPr>
              <w:pStyle w:val="15"/>
              <w:ind w:left="0" w:leftChars="0" w:right="0" w:rightChars="0"/>
              <w:jc w:val="both"/>
              <w:rPr>
                <w:rFonts w:hint="default" w:ascii="Times New Roman" w:hAnsi="Times New Roman" w:eastAsia="仿宋_GB2312"/>
                <w:color w:val="000000" w:themeColor="text1"/>
                <w:sz w:val="24"/>
                <w:szCs w:val="24"/>
                <w:lang w:val="en-US"/>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南昌大学</w:t>
            </w:r>
            <w:r>
              <w:rPr>
                <w:rFonts w:hint="eastAsia"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食品科学与工程</w:t>
            </w:r>
            <w:r>
              <w:rPr>
                <w:rFonts w:hint="eastAsia"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学士</w:t>
            </w:r>
          </w:p>
        </w:tc>
        <w:tc>
          <w:tcPr>
            <w:tcW w:w="1399" w:type="dxa"/>
            <w:vAlign w:val="top"/>
          </w:tcPr>
          <w:p>
            <w:pPr>
              <w:pStyle w:val="15"/>
              <w:ind w:left="0" w:leftChars="0" w:right="0" w:rightChars="0"/>
              <w:jc w:val="both"/>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南昌大学</w:t>
            </w:r>
            <w:r>
              <w:rPr>
                <w:rFonts w:hint="eastAsia" w:ascii="Times New Roman" w:hAnsi="Times New Roman"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食品科学与工程</w:t>
            </w:r>
            <w:r>
              <w:rPr>
                <w:rFonts w:hint="eastAsia" w:ascii="Times New Roman" w:hAnsi="Times New Roman"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硕士</w:t>
            </w:r>
          </w:p>
        </w:tc>
        <w:tc>
          <w:tcPr>
            <w:tcW w:w="1339" w:type="dxa"/>
          </w:tcPr>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p>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p>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r>
              <w:rPr>
                <w:rFonts w:hint="default" w:ascii="Times New Roman" w:hAnsi="Times New Roman" w:eastAsia="仿宋_GB2312"/>
                <w:color w:val="000000" w:themeColor="text1"/>
                <w:sz w:val="24"/>
                <w:szCs w:val="24"/>
                <w14:textFill>
                  <w14:solidFill>
                    <w14:schemeClr w14:val="tx1"/>
                  </w14:solidFill>
                </w14:textFill>
              </w:rPr>
              <w:t>食品科学与工程</w:t>
            </w:r>
          </w:p>
        </w:tc>
        <w:tc>
          <w:tcPr>
            <w:tcW w:w="136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食品分析、营养生物化学与分子生物学</w:t>
            </w:r>
          </w:p>
        </w:tc>
        <w:tc>
          <w:tcPr>
            <w:tcW w:w="766"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84" w:hRule="exact"/>
          <w:jc w:val="center"/>
        </w:trPr>
        <w:tc>
          <w:tcPr>
            <w:tcW w:w="51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6</w:t>
            </w:r>
          </w:p>
        </w:tc>
        <w:tc>
          <w:tcPr>
            <w:tcW w:w="1102"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张月江</w:t>
            </w:r>
          </w:p>
        </w:tc>
        <w:tc>
          <w:tcPr>
            <w:tcW w:w="55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女</w:t>
            </w:r>
          </w:p>
        </w:tc>
        <w:tc>
          <w:tcPr>
            <w:tcW w:w="536"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29</w:t>
            </w:r>
          </w:p>
        </w:tc>
        <w:tc>
          <w:tcPr>
            <w:tcW w:w="1051" w:type="dxa"/>
            <w:vAlign w:val="center"/>
          </w:tcPr>
          <w:p>
            <w:pPr>
              <w:keepNext w:val="0"/>
              <w:keepLines w:val="0"/>
              <w:widowControl w:val="0"/>
              <w:suppressLineNumbers w:val="0"/>
              <w:tabs>
                <w:tab w:val="left" w:pos="381"/>
              </w:tabs>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p>
          <w:p>
            <w:pPr>
              <w:keepNext w:val="0"/>
              <w:keepLines w:val="0"/>
              <w:widowControl w:val="0"/>
              <w:suppressLineNumbers w:val="0"/>
              <w:tabs>
                <w:tab w:val="left" w:pos="381"/>
              </w:tabs>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t>助教</w:t>
            </w:r>
          </w:p>
          <w:p>
            <w:pPr>
              <w:keepNext w:val="0"/>
              <w:keepLines w:val="0"/>
              <w:widowControl w:val="0"/>
              <w:suppressLineNumbers w:val="0"/>
              <w:tabs>
                <w:tab w:val="left" w:pos="381"/>
              </w:tabs>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p>
        </w:tc>
        <w:tc>
          <w:tcPr>
            <w:tcW w:w="162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云南农业大学</w:t>
            </w:r>
            <w:r>
              <w:rPr>
                <w:rFonts w:hint="eastAsia" w:eastAsia="仿宋_GB2312" w:cs="仿宋_GB2312"/>
                <w:color w:val="000000" w:themeColor="text1"/>
                <w:kern w:val="0"/>
                <w:sz w:val="24"/>
                <w:szCs w:val="24"/>
                <w:lang w:val="en-US" w:eastAsia="zh-CN" w:bidi="ar"/>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食品科学与工程</w:t>
            </w:r>
            <w:r>
              <w:rPr>
                <w:rFonts w:hint="eastAsia"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学士</w:t>
            </w:r>
          </w:p>
        </w:tc>
        <w:tc>
          <w:tcPr>
            <w:tcW w:w="1399"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both"/>
              <w:rPr>
                <w:rFonts w:hint="default"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云南农业大学</w:t>
            </w:r>
            <w: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t>；</w:t>
            </w:r>
            <w:r>
              <w:rPr>
                <w:rFonts w:hint="eastAsia" w:ascii="Times New Roman" w:hAnsi="Times New Roman" w:eastAsia="仿宋_GB2312"/>
                <w:color w:val="000000" w:themeColor="text1"/>
                <w:sz w:val="24"/>
                <w:szCs w:val="24"/>
                <w14:textFill>
                  <w14:solidFill>
                    <w14:schemeClr w14:val="tx1"/>
                  </w14:solidFill>
                </w14:textFill>
              </w:rPr>
              <w:t>食品科学与工程</w:t>
            </w:r>
            <w:r>
              <w:rPr>
                <w:rFonts w:hint="eastAsia" w:ascii="Times New Roman" w:hAnsi="Times New Roman" w:eastAsia="仿宋_GB2312"/>
                <w:color w:val="000000" w:themeColor="text1"/>
                <w:sz w:val="24"/>
                <w:szCs w:val="24"/>
                <w:lang w:eastAsia="zh-CN"/>
                <w14:textFill>
                  <w14:solidFill>
                    <w14:schemeClr w14:val="tx1"/>
                  </w14:solidFill>
                </w14:textFill>
              </w:rPr>
              <w:t>；</w:t>
            </w:r>
            <w:r>
              <w:rPr>
                <w:rFonts w:hint="eastAsia" w:ascii="Times New Roman" w:hAnsi="Times New Roman" w:eastAsia="仿宋_GB2312"/>
                <w:color w:val="000000" w:themeColor="text1"/>
                <w:sz w:val="24"/>
                <w:szCs w:val="24"/>
                <w:lang w:val="en-US" w:eastAsia="zh-CN"/>
                <w14:textFill>
                  <w14:solidFill>
                    <w14:schemeClr w14:val="tx1"/>
                  </w14:solidFill>
                </w14:textFill>
              </w:rPr>
              <w:t>硕士</w:t>
            </w:r>
          </w:p>
        </w:tc>
        <w:tc>
          <w:tcPr>
            <w:tcW w:w="1339" w:type="dxa"/>
          </w:tcPr>
          <w:p>
            <w:pPr>
              <w:keepNext w:val="0"/>
              <w:keepLines w:val="0"/>
              <w:suppressLineNumbers w:val="0"/>
              <w:spacing w:before="0" w:beforeAutospacing="0" w:after="0" w:afterAutospacing="0"/>
              <w:ind w:left="0" w:right="0"/>
              <w:jc w:val="center"/>
              <w:rPr>
                <w:rFonts w:hint="eastAsia" w:ascii="Times New Roman" w:hAnsi="Times New Roman" w:eastAsia="仿宋_GB2312"/>
                <w:color w:val="000000" w:themeColor="text1"/>
                <w:sz w:val="24"/>
                <w:szCs w:val="24"/>
                <w14:textFill>
                  <w14:solidFill>
                    <w14:schemeClr w14:val="tx1"/>
                  </w14:solidFill>
                </w14:textFill>
              </w:rPr>
            </w:pPr>
          </w:p>
          <w:p>
            <w:pPr>
              <w:keepNext w:val="0"/>
              <w:keepLines w:val="0"/>
              <w:suppressLineNumbers w:val="0"/>
              <w:spacing w:before="0" w:beforeAutospacing="0" w:after="0" w:afterAutospacing="0"/>
              <w:ind w:left="0" w:right="0"/>
              <w:jc w:val="center"/>
              <w:rPr>
                <w:rFonts w:hint="eastAsia" w:ascii="Times New Roman" w:hAnsi="Times New Roman" w:eastAsia="仿宋_GB2312"/>
                <w:color w:val="000000" w:themeColor="text1"/>
                <w:sz w:val="24"/>
                <w:szCs w:val="24"/>
                <w14:textFill>
                  <w14:solidFill>
                    <w14:schemeClr w14:val="tx1"/>
                  </w14:solidFill>
                </w14:textFill>
              </w:rPr>
            </w:pPr>
          </w:p>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r>
              <w:rPr>
                <w:rFonts w:hint="eastAsia" w:ascii="Times New Roman" w:hAnsi="Times New Roman" w:eastAsia="仿宋_GB2312"/>
                <w:color w:val="000000" w:themeColor="text1"/>
                <w:sz w:val="24"/>
                <w:szCs w:val="24"/>
                <w14:textFill>
                  <w14:solidFill>
                    <w14:schemeClr w14:val="tx1"/>
                  </w14:solidFill>
                </w14:textFill>
              </w:rPr>
              <w:t>食品科学与工程</w:t>
            </w:r>
          </w:p>
        </w:tc>
        <w:tc>
          <w:tcPr>
            <w:tcW w:w="136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食品微生物学、食品化学</w:t>
            </w:r>
          </w:p>
        </w:tc>
        <w:tc>
          <w:tcPr>
            <w:tcW w:w="766"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34" w:hRule="exact"/>
          <w:jc w:val="center"/>
        </w:trPr>
        <w:tc>
          <w:tcPr>
            <w:tcW w:w="51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szCs w:val="24"/>
                <w:lang w:val="en-US" w:eastAsia="zh-CN"/>
              </w:rPr>
            </w:pPr>
            <w:r>
              <w:rPr>
                <w:rFonts w:hint="eastAsia" w:ascii="Times New Roman" w:hAnsi="Times New Roman" w:eastAsia="仿宋_GB2312"/>
                <w:sz w:val="24"/>
                <w:szCs w:val="24"/>
                <w:lang w:val="en-US" w:eastAsia="zh-CN"/>
              </w:rPr>
              <w:t>7</w:t>
            </w:r>
          </w:p>
        </w:tc>
        <w:tc>
          <w:tcPr>
            <w:tcW w:w="1102"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both"/>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黄云华</w:t>
            </w:r>
          </w:p>
        </w:tc>
        <w:tc>
          <w:tcPr>
            <w:tcW w:w="55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right="0" w:rightChars="0"/>
              <w:jc w:val="both"/>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男</w:t>
            </w:r>
          </w:p>
        </w:tc>
        <w:tc>
          <w:tcPr>
            <w:tcW w:w="536" w:type="dxa"/>
            <w:vAlign w:val="center"/>
          </w:tcPr>
          <w:p>
            <w:pPr>
              <w:keepNext w:val="0"/>
              <w:keepLines w:val="0"/>
              <w:suppressLineNumbers w:val="0"/>
              <w:spacing w:before="0" w:beforeAutospacing="0" w:after="0" w:afterAutospacing="0"/>
              <w:ind w:left="0" w:right="0"/>
              <w:jc w:val="both"/>
              <w:rPr>
                <w:rFonts w:hint="default" w:ascii="Times New Roman" w:hAnsi="Times New Roman" w:eastAsia="仿宋_GB2312"/>
                <w:color w:val="000000" w:themeColor="text1"/>
                <w:sz w:val="24"/>
                <w:szCs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val="en-US" w:eastAsia="zh-CN"/>
                <w14:textFill>
                  <w14:solidFill>
                    <w14:schemeClr w14:val="tx1"/>
                  </w14:solidFill>
                </w14:textFill>
              </w:rPr>
              <w:t>59</w:t>
            </w:r>
          </w:p>
        </w:tc>
        <w:tc>
          <w:tcPr>
            <w:tcW w:w="1051"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t>讲师</w:t>
            </w:r>
          </w:p>
        </w:tc>
        <w:tc>
          <w:tcPr>
            <w:tcW w:w="1622"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lang w:val="en-US"/>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华南理工大学</w:t>
            </w:r>
            <w: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t>；</w:t>
            </w: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无机化工</w:t>
            </w:r>
            <w:r>
              <w:rPr>
                <w:rFonts w:hint="eastAsia" w:eastAsia="仿宋_GB2312" w:cs="仿宋_GB2312"/>
                <w:color w:val="000000" w:themeColor="text1"/>
                <w:kern w:val="0"/>
                <w:sz w:val="24"/>
                <w:szCs w:val="24"/>
                <w:lang w:val="en-US" w:eastAsia="zh-CN" w:bidi="ar"/>
                <w14:textFill>
                  <w14:solidFill>
                    <w14:schemeClr w14:val="tx1"/>
                  </w14:solidFill>
                </w14:textFill>
              </w:rPr>
              <w:t>；学士</w:t>
            </w:r>
          </w:p>
        </w:tc>
        <w:tc>
          <w:tcPr>
            <w:tcW w:w="1399"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both"/>
              <w:rPr>
                <w:rFonts w:hint="default"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华南理工大学</w:t>
            </w:r>
            <w: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t>；</w:t>
            </w: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无机化工</w:t>
            </w:r>
            <w:r>
              <w:rPr>
                <w:rFonts w:hint="eastAsia" w:ascii="Times New Roman" w:hAnsi="Times New Roman" w:eastAsia="仿宋_GB2312" w:cs="仿宋_GB2312"/>
                <w:color w:val="000000" w:themeColor="text1"/>
                <w:kern w:val="0"/>
                <w:sz w:val="24"/>
                <w:szCs w:val="24"/>
                <w:lang w:val="en-US" w:eastAsia="zh-CN" w:bidi="ar"/>
                <w14:textFill>
                  <w14:solidFill>
                    <w14:schemeClr w14:val="tx1"/>
                  </w14:solidFill>
                </w14:textFill>
              </w:rPr>
              <w:t>；学士</w:t>
            </w:r>
          </w:p>
        </w:tc>
        <w:tc>
          <w:tcPr>
            <w:tcW w:w="1339" w:type="dxa"/>
          </w:tcPr>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p>
          <w:p>
            <w:pPr>
              <w:keepNext w:val="0"/>
              <w:keepLines w:val="0"/>
              <w:suppressLineNumbers w:val="0"/>
              <w:spacing w:before="0" w:beforeAutospacing="0" w:after="0" w:afterAutospacing="0"/>
              <w:ind w:left="0" w:right="0"/>
              <w:jc w:val="center"/>
              <w:rPr>
                <w:rFonts w:hint="default" w:ascii="Times New Roman" w:hAnsi="Times New Roman" w:eastAsia="仿宋_GB2312"/>
                <w:color w:val="000000" w:themeColor="text1"/>
                <w:sz w:val="24"/>
                <w:szCs w:val="24"/>
                <w14:textFill>
                  <w14:solidFill>
                    <w14:schemeClr w14:val="tx1"/>
                  </w14:solidFill>
                </w14:textFill>
              </w:rPr>
            </w:pPr>
            <w:r>
              <w:rPr>
                <w:rFonts w:hint="default" w:ascii="Times New Roman" w:hAnsi="Times New Roman" w:eastAsia="仿宋_GB2312"/>
                <w:color w:val="000000" w:themeColor="text1"/>
                <w:sz w:val="24"/>
                <w:szCs w:val="24"/>
                <w14:textFill>
                  <w14:solidFill>
                    <w14:schemeClr w14:val="tx1"/>
                  </w14:solidFill>
                </w14:textFill>
              </w:rPr>
              <w:t>无机化工</w:t>
            </w:r>
          </w:p>
        </w:tc>
        <w:tc>
          <w:tcPr>
            <w:tcW w:w="136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pPr>
          </w:p>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themeColor="text1"/>
                <w:kern w:val="0"/>
                <w:sz w:val="24"/>
                <w:szCs w:val="24"/>
                <w:lang w:val="en-US" w:eastAsia="en-US" w:bidi="ar-SA"/>
                <w14:textFill>
                  <w14:solidFill>
                    <w14:schemeClr w14:val="tx1"/>
                  </w14:solidFill>
                </w14:textFill>
              </w:rPr>
            </w:pPr>
            <w:r>
              <w:rPr>
                <w:rFonts w:hint="default" w:ascii="Times New Roman" w:hAnsi="Times New Roman" w:eastAsia="仿宋_GB2312" w:cs="仿宋_GB2312"/>
                <w:color w:val="000000" w:themeColor="text1"/>
                <w:kern w:val="0"/>
                <w:sz w:val="24"/>
                <w:szCs w:val="24"/>
                <w:lang w:val="en-US" w:eastAsia="zh-CN" w:bidi="ar"/>
                <w14:textFill>
                  <w14:solidFill>
                    <w14:schemeClr w14:val="tx1"/>
                  </w14:solidFill>
                </w14:textFill>
              </w:rPr>
              <w:t>食品工程原理</w:t>
            </w:r>
          </w:p>
        </w:tc>
        <w:tc>
          <w:tcPr>
            <w:tcW w:w="766" w:type="dxa"/>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default" w:ascii="Times New Roman" w:hAnsi="Times New Roman" w:eastAsia="仿宋_GB2312" w:cs="宋体"/>
                <w:color w:val="000000" w:themeColor="text1"/>
                <w:kern w:val="0"/>
                <w:sz w:val="24"/>
                <w:szCs w:val="24"/>
                <w:lang w:val="en-US" w:eastAsia="zh-CN" w:bidi="ar-SA"/>
                <w14:textFill>
                  <w14:solidFill>
                    <w14:schemeClr w14:val="tx1"/>
                  </w14:solidFill>
                </w14:textFill>
              </w:rPr>
            </w:pPr>
            <w:r>
              <w:rPr>
                <w:rFonts w:hint="eastAsia" w:ascii="Times New Roman" w:hAnsi="Times New Roman" w:eastAsia="仿宋_GB2312" w:cs="宋体"/>
                <w:color w:val="000000" w:themeColor="text1"/>
                <w:kern w:val="0"/>
                <w:sz w:val="24"/>
                <w:szCs w:val="24"/>
                <w:lang w:val="en-US" w:eastAsia="zh-CN" w:bidi="ar-SA"/>
                <w14:textFill>
                  <w14:solidFill>
                    <w14:schemeClr w14:val="tx1"/>
                  </w14:solidFill>
                </w14:textFill>
              </w:rPr>
              <w:t>兼职</w:t>
            </w:r>
          </w:p>
        </w:tc>
      </w:tr>
    </w:tbl>
    <w:p>
      <w:pPr>
        <w:spacing w:line="360" w:lineRule="auto"/>
        <w:jc w:val="both"/>
        <w:rPr>
          <w:rFonts w:hint="eastAsia" w:ascii="黑体" w:hAnsi="黑体" w:eastAsia="黑体"/>
          <w:sz w:val="24"/>
          <w:szCs w:val="24"/>
        </w:rPr>
      </w:pPr>
    </w:p>
    <w:p>
      <w:pPr>
        <w:spacing w:line="360" w:lineRule="auto"/>
        <w:jc w:val="center"/>
        <w:rPr>
          <w:rFonts w:hint="eastAsia" w:ascii="黑体" w:hAnsi="黑体" w:eastAsia="黑体"/>
          <w:sz w:val="36"/>
          <w:szCs w:val="36"/>
        </w:rPr>
      </w:pPr>
      <w:r>
        <w:rPr>
          <w:rFonts w:hint="eastAsia" w:ascii="黑体" w:hAnsi="黑体" w:eastAsia="黑体"/>
          <w:sz w:val="36"/>
          <w:szCs w:val="36"/>
        </w:rPr>
        <w:t>7.主要课程开设情况一览表</w:t>
      </w:r>
    </w:p>
    <w:p>
      <w:pPr>
        <w:spacing w:line="360" w:lineRule="auto"/>
        <w:ind w:firstLine="482" w:firstLineChars="200"/>
        <w:jc w:val="center"/>
        <w:rPr>
          <w:rFonts w:eastAsia="仿宋_GB2312"/>
          <w:b/>
          <w:sz w:val="24"/>
        </w:rPr>
      </w:pP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8"/>
        <w:gridCol w:w="334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3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课程名称</w:t>
            </w:r>
          </w:p>
        </w:tc>
        <w:tc>
          <w:tcPr>
            <w:tcW w:w="121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总学时</w:t>
            </w:r>
          </w:p>
        </w:tc>
        <w:tc>
          <w:tcPr>
            <w:tcW w:w="103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周学时</w:t>
            </w:r>
          </w:p>
        </w:tc>
        <w:tc>
          <w:tcPr>
            <w:tcW w:w="2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授课教师</w:t>
            </w:r>
          </w:p>
        </w:tc>
        <w:tc>
          <w:tcPr>
            <w:tcW w:w="122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食品营养与健康科学</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56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4</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en-US" w:bidi="ar-SA"/>
              </w:rPr>
            </w:pPr>
            <w:r>
              <w:rPr>
                <w:rFonts w:hint="default" w:ascii="Times New Roman" w:hAnsi="Times New Roman" w:eastAsia="仿宋_GB2312" w:cs="仿宋_GB2312"/>
                <w:color w:val="auto"/>
                <w:kern w:val="0"/>
                <w:sz w:val="24"/>
                <w:szCs w:val="24"/>
                <w:lang w:val="en-US" w:eastAsia="zh-CN" w:bidi="ar"/>
              </w:rPr>
              <w:t>王晓琴</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2</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营养与代谢</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32</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2</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en-US" w:bidi="ar-SA"/>
              </w:rPr>
            </w:pPr>
            <w:r>
              <w:rPr>
                <w:rFonts w:hint="default" w:ascii="Times New Roman" w:hAnsi="Times New Roman" w:eastAsia="仿宋_GB2312" w:cs="仿宋_GB2312"/>
                <w:color w:val="auto"/>
                <w:kern w:val="0"/>
                <w:sz w:val="24"/>
                <w:szCs w:val="24"/>
                <w:lang w:val="en-US" w:eastAsia="zh-CN" w:bidi="ar"/>
              </w:rPr>
              <w:t>王晓琴</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3</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食品分析</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36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2</w:t>
            </w:r>
          </w:p>
        </w:tc>
        <w:tc>
          <w:tcPr>
            <w:tcW w:w="2210" w:type="dxa"/>
            <w:vAlign w:val="top"/>
          </w:tcPr>
          <w:p>
            <w:pPr>
              <w:keepNext w:val="0"/>
              <w:keepLines w:val="0"/>
              <w:widowControl/>
              <w:suppressLineNumbers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en-US" w:bidi="ar-SA"/>
              </w:rPr>
            </w:pPr>
            <w:r>
              <w:rPr>
                <w:rFonts w:hint="default" w:ascii="Times New Roman" w:hAnsi="Times New Roman" w:eastAsia="仿宋_GB2312" w:cs="仿宋_GB2312"/>
                <w:color w:val="auto"/>
                <w:kern w:val="0"/>
                <w:sz w:val="24"/>
                <w:szCs w:val="24"/>
                <w:lang w:val="en-US" w:eastAsia="zh-CN" w:bidi="ar"/>
              </w:rPr>
              <w:t>谢秀玲</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4</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营养生物化学与分子生物学</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56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4</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en-US" w:bidi="ar-SA"/>
              </w:rPr>
            </w:pPr>
            <w:r>
              <w:rPr>
                <w:rFonts w:hint="default" w:ascii="Times New Roman" w:hAnsi="Times New Roman" w:eastAsia="仿宋_GB2312" w:cs="仿宋_GB2312"/>
                <w:color w:val="auto"/>
                <w:kern w:val="0"/>
                <w:sz w:val="24"/>
                <w:szCs w:val="24"/>
                <w:lang w:val="en-US" w:eastAsia="zh-CN" w:bidi="ar"/>
              </w:rPr>
              <w:t>谢秀玲</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5</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食品与营养科学研究方法</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32</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2</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en-US" w:bidi="ar-SA"/>
              </w:rPr>
            </w:pPr>
            <w:r>
              <w:rPr>
                <w:rFonts w:hint="default" w:ascii="Times New Roman" w:hAnsi="Times New Roman" w:eastAsia="仿宋_GB2312" w:cs="仿宋_GB2312"/>
                <w:color w:val="auto"/>
                <w:kern w:val="0"/>
                <w:sz w:val="24"/>
                <w:szCs w:val="24"/>
                <w:lang w:val="en-US" w:eastAsia="zh-CN" w:bidi="ar"/>
              </w:rPr>
              <w:t>孙云</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6</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营养与健康大数据管理</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36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2</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en-US" w:bidi="ar-SA"/>
              </w:rPr>
            </w:pPr>
            <w:r>
              <w:rPr>
                <w:rFonts w:hint="default" w:ascii="Times New Roman" w:hAnsi="Times New Roman" w:eastAsia="仿宋_GB2312" w:cs="仿宋_GB2312"/>
                <w:color w:val="auto"/>
                <w:kern w:val="0"/>
                <w:sz w:val="24"/>
                <w:szCs w:val="24"/>
                <w:lang w:val="en-US" w:eastAsia="zh-CN" w:bidi="ar"/>
              </w:rPr>
              <w:t>孙云</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7</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食品微生物学</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56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4</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2"/>
                <w:szCs w:val="22"/>
                <w:lang w:val="en-US" w:eastAsia="en-US" w:bidi="ar-SA"/>
              </w:rPr>
            </w:pPr>
            <w:r>
              <w:rPr>
                <w:rFonts w:hint="default" w:ascii="Times New Roman" w:hAnsi="Times New Roman" w:eastAsia="仿宋_GB2312" w:cs="仿宋_GB2312"/>
                <w:color w:val="auto"/>
                <w:kern w:val="0"/>
                <w:sz w:val="24"/>
                <w:szCs w:val="24"/>
                <w:lang w:val="en-US" w:eastAsia="zh-CN" w:bidi="ar"/>
              </w:rPr>
              <w:t>张月江</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color w:val="auto"/>
                <w:kern w:val="0"/>
                <w:sz w:val="22"/>
                <w:szCs w:val="22"/>
                <w:lang w:val="en-US" w:eastAsia="zh-CN" w:bidi="ar-SA"/>
              </w:rPr>
            </w:pPr>
            <w:r>
              <w:rPr>
                <w:rFonts w:hint="default" w:ascii="Times New Roman" w:hAnsi="Times New Roman" w:eastAsia="仿宋_GB2312" w:cs="仿宋_GB2312"/>
                <w:color w:val="auto"/>
                <w:kern w:val="0"/>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8</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食品化学</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56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4</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en-US" w:bidi="ar-SA"/>
              </w:rPr>
            </w:pPr>
            <w:r>
              <w:rPr>
                <w:rFonts w:hint="default" w:ascii="Times New Roman" w:hAnsi="Times New Roman" w:eastAsia="仿宋_GB2312" w:cs="仿宋_GB2312"/>
                <w:color w:val="auto"/>
                <w:kern w:val="0"/>
                <w:sz w:val="24"/>
                <w:szCs w:val="24"/>
                <w:lang w:val="en-US" w:eastAsia="zh-CN" w:bidi="ar"/>
              </w:rPr>
              <w:t>张月江</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9</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食品工程原理</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56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4</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en-US" w:bidi="ar-SA"/>
              </w:rPr>
            </w:pPr>
            <w:r>
              <w:rPr>
                <w:rFonts w:hint="default" w:ascii="Times New Roman" w:hAnsi="Times New Roman" w:eastAsia="仿宋_GB2312" w:cs="仿宋_GB2312"/>
                <w:color w:val="auto"/>
                <w:kern w:val="0"/>
                <w:sz w:val="24"/>
                <w:szCs w:val="24"/>
                <w:lang w:val="en-US" w:eastAsia="zh-CN" w:bidi="ar"/>
              </w:rPr>
              <w:t>黄云华</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10</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食品机械与设备</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0"/>
                <w:sz w:val="20"/>
                <w:szCs w:val="20"/>
                <w:vertAlign w:val="baseline"/>
                <w:lang w:val="en-US" w:eastAsia="en-US" w:bidi="ar-SA"/>
              </w:rPr>
            </w:pPr>
            <w:r>
              <w:rPr>
                <w:rFonts w:hint="default" w:ascii="Times New Roman" w:hAnsi="Times New Roman" w:eastAsia="仿宋_GB2312" w:cs="仿宋_GB2312"/>
                <w:color w:val="auto"/>
                <w:kern w:val="0"/>
                <w:sz w:val="24"/>
                <w:szCs w:val="24"/>
                <w:lang w:val="en-US" w:eastAsia="zh-CN" w:bidi="ar"/>
              </w:rPr>
              <w:t>36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2</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en-US" w:bidi="ar-SA"/>
              </w:rPr>
            </w:pPr>
            <w:r>
              <w:rPr>
                <w:rFonts w:hint="default" w:ascii="Times New Roman" w:hAnsi="Times New Roman" w:eastAsia="仿宋_GB2312" w:cs="仿宋_GB2312"/>
                <w:color w:val="auto"/>
                <w:kern w:val="0"/>
                <w:sz w:val="24"/>
                <w:szCs w:val="24"/>
                <w:lang w:val="en-US" w:eastAsia="zh-CN" w:bidi="ar"/>
              </w:rPr>
              <w:t>戚冬红</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11</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食品营养与健康科学</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Times New Roman"/>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56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4</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王晓琴</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12</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营养与代谢</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Times New Roman"/>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32</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2</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王晓琴</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13</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食品分析</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Times New Roman"/>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36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2</w:t>
            </w:r>
          </w:p>
        </w:tc>
        <w:tc>
          <w:tcPr>
            <w:tcW w:w="2210" w:type="dxa"/>
            <w:vAlign w:val="top"/>
          </w:tcPr>
          <w:p>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谢秀玲</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14</w:t>
            </w:r>
          </w:p>
        </w:tc>
        <w:tc>
          <w:tcPr>
            <w:tcW w:w="3348"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宋体"/>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营养生物化学与分子生物学</w:t>
            </w:r>
          </w:p>
        </w:tc>
        <w:tc>
          <w:tcPr>
            <w:tcW w:w="1214"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Times New Roman"/>
                <w:color w:val="auto"/>
                <w:kern w:val="0"/>
                <w:sz w:val="20"/>
                <w:szCs w:val="20"/>
                <w:vertAlign w:val="baseline"/>
                <w:lang w:val="en-US" w:eastAsia="zh-CN" w:bidi="ar-SA"/>
              </w:rPr>
            </w:pPr>
            <w:r>
              <w:rPr>
                <w:rFonts w:hint="default" w:ascii="Times New Roman" w:hAnsi="Times New Roman" w:eastAsia="仿宋_GB2312" w:cs="仿宋_GB2312"/>
                <w:color w:val="auto"/>
                <w:kern w:val="0"/>
                <w:sz w:val="24"/>
                <w:szCs w:val="24"/>
                <w:lang w:val="en-US" w:eastAsia="zh-CN" w:bidi="ar"/>
              </w:rPr>
              <w:t>56</w:t>
            </w:r>
          </w:p>
        </w:tc>
        <w:tc>
          <w:tcPr>
            <w:tcW w:w="103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4</w:t>
            </w:r>
          </w:p>
        </w:tc>
        <w:tc>
          <w:tcPr>
            <w:tcW w:w="2210"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谢秀玲</w:t>
            </w:r>
          </w:p>
        </w:tc>
        <w:tc>
          <w:tcPr>
            <w:tcW w:w="1225" w:type="dxa"/>
            <w:vAlign w:val="top"/>
          </w:tcPr>
          <w:p>
            <w:pPr>
              <w:pStyle w:val="5"/>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auto"/>
                <w:kern w:val="2"/>
                <w:sz w:val="24"/>
                <w:szCs w:val="24"/>
                <w:lang w:val="en-US" w:eastAsia="zh-CN" w:bidi="ar-SA"/>
              </w:rPr>
            </w:pPr>
            <w:r>
              <w:rPr>
                <w:rFonts w:hint="default" w:ascii="Times New Roman" w:hAnsi="Times New Roman" w:eastAsia="仿宋_GB2312" w:cs="仿宋_GB2312"/>
                <w:color w:val="auto"/>
                <w:kern w:val="0"/>
                <w:sz w:val="24"/>
                <w:szCs w:val="24"/>
                <w:lang w:val="en-US" w:eastAsia="zh-CN" w:bidi="ar"/>
              </w:rPr>
              <w:t>5</w:t>
            </w:r>
          </w:p>
        </w:tc>
      </w:tr>
    </w:tbl>
    <w:p>
      <w:pPr>
        <w:rPr>
          <w:rFonts w:eastAsia="仿宋_GB2312"/>
        </w:rPr>
      </w:pPr>
    </w:p>
    <w:p>
      <w:pPr>
        <w:rPr>
          <w:rFonts w:eastAsia="仿宋_GB2312"/>
        </w:rPr>
      </w:pPr>
    </w:p>
    <w:p>
      <w:pPr>
        <w:rPr>
          <w:rFonts w:eastAsia="仿宋_GB2312"/>
        </w:rPr>
      </w:pPr>
    </w:p>
    <w:p>
      <w:pPr>
        <w:ind w:firstLine="705" w:firstLineChars="196"/>
        <w:jc w:val="center"/>
        <w:rPr>
          <w:rFonts w:hint="eastAsia" w:ascii="黑体" w:hAnsi="黑体" w:eastAsia="黑体"/>
          <w:bCs/>
          <w:kern w:val="0"/>
          <w:sz w:val="36"/>
          <w:szCs w:val="36"/>
        </w:rPr>
      </w:pPr>
      <w:r>
        <w:rPr>
          <w:rFonts w:hint="eastAsia" w:ascii="黑体" w:hAnsi="黑体" w:eastAsia="黑体"/>
          <w:bCs/>
          <w:kern w:val="0"/>
          <w:sz w:val="36"/>
          <w:szCs w:val="36"/>
        </w:rPr>
        <w:t>8.其他办学条件情况表</w:t>
      </w:r>
    </w:p>
    <w:p>
      <w:pPr>
        <w:rPr>
          <w:rFonts w:eastAsia="仿宋_GB2312"/>
          <w:kern w:val="0"/>
          <w:sz w:val="24"/>
        </w:rPr>
      </w:pPr>
    </w:p>
    <w:tbl>
      <w:tblPr>
        <w:tblStyle w:val="6"/>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537"/>
        <w:gridCol w:w="803"/>
        <w:gridCol w:w="849"/>
        <w:gridCol w:w="1497"/>
        <w:gridCol w:w="382"/>
        <w:gridCol w:w="603"/>
        <w:gridCol w:w="1360"/>
        <w:gridCol w:w="750"/>
        <w:gridCol w:w="461"/>
        <w:gridCol w:w="650"/>
        <w:gridCol w:w="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152" w:type="dxa"/>
            <w:gridSpan w:val="2"/>
            <w:vAlign w:val="center"/>
          </w:tcPr>
          <w:p>
            <w:pPr>
              <w:keepNext w:val="0"/>
              <w:keepLines w:val="0"/>
              <w:suppressLineNumbers w:val="0"/>
              <w:spacing w:before="0" w:beforeAutospacing="0" w:after="0" w:afterAutospacing="0"/>
              <w:ind w:left="420" w:right="0" w:hanging="420" w:hangingChars="200"/>
              <w:jc w:val="center"/>
              <w:rPr>
                <w:rFonts w:hint="default" w:ascii="Times New Roman" w:hAnsi="Times New Roman" w:eastAsia="仿宋_GB2312"/>
              </w:rPr>
            </w:pPr>
            <w:r>
              <w:rPr>
                <w:rFonts w:hint="default" w:ascii="Times New Roman" w:hAnsi="Times New Roman" w:eastAsia="仿宋_GB2312"/>
              </w:rPr>
              <w:t>专业名称</w:t>
            </w:r>
          </w:p>
        </w:tc>
        <w:tc>
          <w:tcPr>
            <w:tcW w:w="4134" w:type="dxa"/>
            <w:gridSpan w:val="5"/>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食品营养与健康</w:t>
            </w:r>
          </w:p>
        </w:tc>
        <w:tc>
          <w:tcPr>
            <w:tcW w:w="1360" w:type="dxa"/>
            <w:vAlign w:val="center"/>
          </w:tcPr>
          <w:p>
            <w:pPr>
              <w:keepNext w:val="0"/>
              <w:keepLines w:val="0"/>
              <w:widowControl/>
              <w:suppressLineNumbers w:val="0"/>
              <w:spacing w:before="0" w:beforeAutospacing="0" w:after="0" w:afterAutospacing="0"/>
              <w:ind w:left="0" w:right="0"/>
              <w:rPr>
                <w:rFonts w:hint="default" w:ascii="Times New Roman" w:hAnsi="Times New Roman" w:eastAsia="仿宋_GB2312"/>
                <w:color w:val="auto"/>
              </w:rPr>
            </w:pPr>
            <w:r>
              <w:rPr>
                <w:rFonts w:hint="default" w:ascii="Times New Roman" w:hAnsi="Times New Roman" w:eastAsia="仿宋_GB2312"/>
                <w:color w:val="auto"/>
              </w:rPr>
              <w:t>开办经费及来源</w:t>
            </w:r>
          </w:p>
        </w:tc>
        <w:tc>
          <w:tcPr>
            <w:tcW w:w="2333" w:type="dxa"/>
            <w:gridSpan w:val="4"/>
            <w:vAlign w:val="center"/>
          </w:tcPr>
          <w:p>
            <w:pPr>
              <w:keepNext w:val="0"/>
              <w:keepLines w:val="0"/>
              <w:widowControl/>
              <w:suppressLineNumbers w:val="0"/>
              <w:spacing w:before="0" w:beforeAutospacing="0" w:after="0" w:afterAutospacing="0"/>
              <w:ind w:left="0" w:right="0"/>
              <w:rPr>
                <w:rFonts w:hint="default" w:ascii="Times New Roman" w:hAnsi="Times New Roman" w:eastAsia="仿宋_GB2312"/>
                <w:color w:val="auto"/>
              </w:rPr>
            </w:pPr>
            <w:r>
              <w:rPr>
                <w:rFonts w:hint="eastAsia" w:ascii="Times New Roman" w:hAnsi="Times New Roman" w:eastAsia="仿宋_GB2312"/>
                <w:color w:val="auto"/>
              </w:rPr>
              <w:t>500</w:t>
            </w:r>
            <w:r>
              <w:rPr>
                <w:rFonts w:hint="default" w:ascii="Times New Roman" w:hAnsi="Times New Roman" w:eastAsia="仿宋_GB2312"/>
                <w:color w:val="auto"/>
              </w:rPr>
              <w:t>万</w:t>
            </w:r>
            <w:r>
              <w:rPr>
                <w:rFonts w:hint="eastAsia" w:ascii="Times New Roman" w:hAnsi="Times New Roman" w:eastAsia="仿宋_GB2312"/>
                <w:color w:val="auto"/>
                <w:lang w:eastAsia="zh-CN"/>
              </w:rPr>
              <w:t>；</w:t>
            </w:r>
            <w:r>
              <w:rPr>
                <w:rFonts w:hint="default" w:ascii="Times New Roman" w:hAnsi="Times New Roman" w:eastAsia="仿宋_GB2312"/>
                <w:color w:val="auto"/>
              </w:rPr>
              <w:t>自筹</w:t>
            </w:r>
          </w:p>
          <w:p>
            <w:pPr>
              <w:keepNext w:val="0"/>
              <w:keepLines w:val="0"/>
              <w:widowControl/>
              <w:suppressLineNumbers w:val="0"/>
              <w:spacing w:before="0" w:beforeAutospacing="0" w:after="0" w:afterAutospacing="0"/>
              <w:ind w:left="0" w:right="0"/>
              <w:rPr>
                <w:rFonts w:hint="default" w:ascii="Times New Roman" w:hAnsi="Times New Roman" w:eastAsia="仿宋_GB2312"/>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55" w:type="dxa"/>
            <w:gridSpan w:val="3"/>
            <w:vAlign w:val="center"/>
          </w:tcPr>
          <w:p>
            <w:pPr>
              <w:keepNext w:val="0"/>
              <w:keepLines w:val="0"/>
              <w:suppressLineNumbers w:val="0"/>
              <w:spacing w:before="0" w:beforeAutospacing="0" w:after="0" w:afterAutospacing="0"/>
              <w:ind w:left="210" w:right="0" w:hanging="210" w:hangingChars="100"/>
              <w:rPr>
                <w:rFonts w:hint="default" w:ascii="Times New Roman" w:hAnsi="Times New Roman" w:eastAsia="仿宋_GB2312"/>
              </w:rPr>
            </w:pPr>
            <w:r>
              <w:rPr>
                <w:rFonts w:hint="default" w:ascii="Times New Roman" w:hAnsi="Times New Roman" w:eastAsia="仿宋_GB2312"/>
              </w:rPr>
              <w:t>申报专业副高及以上职称(在岗)人数</w:t>
            </w:r>
          </w:p>
        </w:tc>
        <w:tc>
          <w:tcPr>
            <w:tcW w:w="849"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p>
            <w:pPr>
              <w:keepNext w:val="0"/>
              <w:keepLines w:val="0"/>
              <w:suppressLineNumbers w:val="0"/>
              <w:spacing w:before="0" w:beforeAutospacing="0" w:after="0" w:afterAutospacing="0"/>
              <w:ind w:left="0" w:right="0"/>
              <w:rPr>
                <w:rFonts w:hint="default" w:ascii="Times New Roman" w:hAnsi="Times New Roman" w:eastAsia="仿宋_GB2312"/>
                <w:lang w:val="en-US" w:eastAsia="zh-CN"/>
              </w:rPr>
            </w:pPr>
            <w:r>
              <w:rPr>
                <w:rFonts w:hint="eastAsia" w:eastAsia="仿宋_GB2312"/>
                <w:lang w:val="en-US" w:eastAsia="zh-CN"/>
              </w:rPr>
              <w:t>4</w:t>
            </w:r>
          </w:p>
        </w:tc>
        <w:tc>
          <w:tcPr>
            <w:tcW w:w="1497"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其中该专业</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专职在岗人数</w:t>
            </w:r>
          </w:p>
        </w:tc>
        <w:tc>
          <w:tcPr>
            <w:tcW w:w="985"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7</w:t>
            </w:r>
          </w:p>
        </w:tc>
        <w:tc>
          <w:tcPr>
            <w:tcW w:w="1360"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其中校内</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兼职人数</w:t>
            </w:r>
          </w:p>
        </w:tc>
        <w:tc>
          <w:tcPr>
            <w:tcW w:w="750"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tc>
        <w:tc>
          <w:tcPr>
            <w:tcW w:w="1111"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其中校外兼职人数</w:t>
            </w:r>
          </w:p>
        </w:tc>
        <w:tc>
          <w:tcPr>
            <w:tcW w:w="472"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955" w:type="dxa"/>
            <w:gridSpan w:val="3"/>
            <w:tcBorders>
              <w:top w:val="single" w:color="auto" w:sz="4" w:space="0"/>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是否具备开办该</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专业所必需的图书资料</w:t>
            </w:r>
          </w:p>
        </w:tc>
        <w:tc>
          <w:tcPr>
            <w:tcW w:w="849" w:type="dxa"/>
            <w:tcBorders>
              <w:bottom w:val="double" w:color="auto" w:sz="4" w:space="0"/>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是</w:t>
            </w:r>
          </w:p>
        </w:tc>
        <w:tc>
          <w:tcPr>
            <w:tcW w:w="1879"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可用于该专业的</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教学实验设备</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（千元以上）</w:t>
            </w:r>
          </w:p>
        </w:tc>
        <w:tc>
          <w:tcPr>
            <w:tcW w:w="1963" w:type="dxa"/>
            <w:gridSpan w:val="2"/>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18"/>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sz w:val="18"/>
                <w:lang w:val="en-US" w:eastAsia="zh-CN"/>
              </w:rPr>
            </w:pPr>
            <w:r>
              <w:rPr>
                <w:rFonts w:hint="eastAsia" w:eastAsia="仿宋_GB2312"/>
                <w:sz w:val="18"/>
                <w:lang w:val="en-US" w:eastAsia="zh-CN"/>
              </w:rPr>
              <w:t>28</w:t>
            </w:r>
          </w:p>
          <w:p>
            <w:pPr>
              <w:keepNext w:val="0"/>
              <w:keepLines w:val="0"/>
              <w:widowControl/>
              <w:suppressLineNumbers w:val="0"/>
              <w:spacing w:before="0" w:beforeAutospacing="0" w:after="0" w:afterAutospacing="0"/>
              <w:ind w:left="0" w:right="0" w:firstLine="180" w:firstLineChars="100"/>
              <w:jc w:val="center"/>
              <w:rPr>
                <w:rFonts w:hint="default" w:ascii="Times New Roman" w:hAnsi="Times New Roman" w:eastAsia="仿宋_GB2312"/>
                <w:sz w:val="18"/>
              </w:rPr>
            </w:pPr>
            <w:r>
              <w:rPr>
                <w:rFonts w:hint="default" w:ascii="Times New Roman" w:hAnsi="Times New Roman" w:eastAsia="仿宋_GB2312"/>
                <w:sz w:val="18"/>
              </w:rPr>
              <w:t>（台/件）</w:t>
            </w:r>
          </w:p>
        </w:tc>
        <w:tc>
          <w:tcPr>
            <w:tcW w:w="1211"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总 价 值</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（万元）</w:t>
            </w:r>
          </w:p>
        </w:tc>
        <w:tc>
          <w:tcPr>
            <w:tcW w:w="1122" w:type="dxa"/>
            <w:gridSpan w:val="2"/>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750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序</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号</w:t>
            </w:r>
          </w:p>
        </w:tc>
        <w:tc>
          <w:tcPr>
            <w:tcW w:w="4068" w:type="dxa"/>
            <w:gridSpan w:val="5"/>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主要教学设备名称（限10项内）</w:t>
            </w:r>
          </w:p>
        </w:tc>
        <w:tc>
          <w:tcPr>
            <w:tcW w:w="1963" w:type="dxa"/>
            <w:gridSpan w:val="2"/>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型    号</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规    格</w:t>
            </w:r>
          </w:p>
        </w:tc>
        <w:tc>
          <w:tcPr>
            <w:tcW w:w="750"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18"/>
              </w:rPr>
            </w:pPr>
            <w:r>
              <w:rPr>
                <w:rFonts w:hint="default" w:ascii="Times New Roman" w:hAnsi="Times New Roman" w:eastAsia="仿宋_GB2312"/>
                <w:sz w:val="18"/>
              </w:rPr>
              <w:t>台(件)</w:t>
            </w:r>
          </w:p>
        </w:tc>
        <w:tc>
          <w:tcPr>
            <w:tcW w:w="1583" w:type="dxa"/>
            <w:gridSpan w:val="3"/>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1</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5" w:beforeAutospacing="0" w:after="0" w:afterAutospacing="0"/>
              <w:ind w:left="479"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2"/>
                <w:kern w:val="0"/>
                <w:sz w:val="24"/>
                <w:szCs w:val="24"/>
                <w:lang w:val="en-US" w:eastAsia="zh-CN" w:bidi="ar"/>
              </w:rPr>
              <w:t>制备型液相色谱仪</w:t>
            </w:r>
          </w:p>
        </w:tc>
        <w:tc>
          <w:tcPr>
            <w:tcW w:w="1963" w:type="dxa"/>
            <w:gridSpan w:val="2"/>
            <w:vAlign w:val="top"/>
          </w:tcPr>
          <w:p>
            <w:pPr>
              <w:keepNext w:val="0"/>
              <w:keepLines w:val="0"/>
              <w:widowControl/>
              <w:suppressLineNumbers w:val="0"/>
              <w:kinsoku w:val="0"/>
              <w:autoSpaceDE w:val="0"/>
              <w:autoSpaceDN w:val="0"/>
              <w:adjustRightInd w:val="0"/>
              <w:snapToGrid w:val="0"/>
              <w:spacing w:before="234" w:beforeAutospacing="0" w:after="0" w:afterAutospacing="0"/>
              <w:ind w:left="14" w:leftChars="0" w:right="0" w:rightChars="0"/>
              <w:jc w:val="center"/>
              <w:textAlignment w:val="baseline"/>
              <w:rPr>
                <w:rFonts w:hint="default"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2"/>
                <w:kern w:val="0"/>
                <w:sz w:val="24"/>
                <w:szCs w:val="24"/>
                <w:lang w:val="en-US" w:eastAsia="zh-CN" w:bidi="ar"/>
              </w:rPr>
              <w:t>Agilent</w:t>
            </w:r>
            <w:r>
              <w:rPr>
                <w:rFonts w:hint="default" w:ascii="Times New Roman" w:hAnsi="Times New Roman" w:eastAsia="仿宋_GB2312" w:cs="Times New Roman"/>
                <w:snapToGrid/>
                <w:color w:val="000000"/>
                <w:spacing w:val="38"/>
                <w:kern w:val="0"/>
                <w:sz w:val="24"/>
                <w:szCs w:val="24"/>
                <w:lang w:val="en-US" w:eastAsia="zh-CN" w:bidi="ar"/>
              </w:rPr>
              <w:t xml:space="preserve"> </w:t>
            </w:r>
            <w:r>
              <w:rPr>
                <w:rFonts w:hint="default" w:ascii="Times New Roman" w:hAnsi="Times New Roman" w:eastAsia="仿宋_GB2312" w:cs="Times New Roman"/>
                <w:snapToGrid/>
                <w:color w:val="000000"/>
                <w:spacing w:val="-2"/>
                <w:kern w:val="0"/>
                <w:sz w:val="24"/>
                <w:szCs w:val="24"/>
                <w:lang w:val="en-US" w:eastAsia="zh-CN" w:bidi="ar"/>
              </w:rPr>
              <w:t>1260 infinity</w:t>
            </w:r>
          </w:p>
        </w:tc>
        <w:tc>
          <w:tcPr>
            <w:tcW w:w="750" w:type="dxa"/>
            <w:vAlign w:val="top"/>
          </w:tcPr>
          <w:p>
            <w:pPr>
              <w:keepNext w:val="0"/>
              <w:keepLines w:val="0"/>
              <w:widowControl/>
              <w:suppressLineNumbers w:val="0"/>
              <w:kinsoku w:val="0"/>
              <w:autoSpaceDE w:val="0"/>
              <w:autoSpaceDN w:val="0"/>
              <w:adjustRightInd w:val="0"/>
              <w:snapToGrid w:val="0"/>
              <w:spacing w:before="239" w:beforeAutospacing="0" w:after="0" w:afterAutospacing="0"/>
              <w:ind w:left="378"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1</w:t>
            </w:r>
          </w:p>
        </w:tc>
        <w:tc>
          <w:tcPr>
            <w:tcW w:w="1583"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4"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2</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5" w:beforeAutospacing="0" w:after="0" w:afterAutospacing="0" w:line="502" w:lineRule="exact"/>
              <w:ind w:left="0" w:right="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3"/>
                <w:kern w:val="0"/>
                <w:position w:val="20"/>
                <w:sz w:val="24"/>
                <w:szCs w:val="24"/>
                <w:lang w:val="en-US" w:eastAsia="zh-CN" w:bidi="ar"/>
              </w:rPr>
              <w:t>气相色谱四级杆质谱联用仪</w:t>
            </w:r>
          </w:p>
        </w:tc>
        <w:tc>
          <w:tcPr>
            <w:tcW w:w="1963" w:type="dxa"/>
            <w:gridSpan w:val="2"/>
            <w:vAlign w:val="top"/>
          </w:tcPr>
          <w:p>
            <w:pPr>
              <w:keepNext w:val="0"/>
              <w:keepLines w:val="0"/>
              <w:widowControl/>
              <w:suppressLineNumbers w:val="0"/>
              <w:kinsoku w:val="0"/>
              <w:autoSpaceDE w:val="0"/>
              <w:autoSpaceDN w:val="0"/>
              <w:adjustRightInd w:val="0"/>
              <w:snapToGrid w:val="0"/>
              <w:spacing w:before="69" w:beforeAutospacing="0" w:after="0" w:afterAutospacing="0"/>
              <w:ind w:left="0" w:right="0" w:rightChars="0"/>
              <w:jc w:val="center"/>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2"/>
                <w:kern w:val="0"/>
                <w:sz w:val="24"/>
                <w:szCs w:val="24"/>
                <w:lang w:val="en-US" w:eastAsia="zh-CN" w:bidi="ar"/>
              </w:rPr>
              <w:t>Agilent</w:t>
            </w:r>
            <w:r>
              <w:rPr>
                <w:rFonts w:hint="default" w:ascii="Times New Roman" w:hAnsi="Times New Roman" w:eastAsia="仿宋_GB2312" w:cs="Times New Roman"/>
                <w:snapToGrid/>
                <w:color w:val="000000"/>
                <w:spacing w:val="30"/>
                <w:kern w:val="0"/>
                <w:sz w:val="24"/>
                <w:szCs w:val="24"/>
                <w:lang w:val="en-US" w:eastAsia="zh-CN" w:bidi="ar"/>
              </w:rPr>
              <w:t xml:space="preserve"> </w:t>
            </w:r>
            <w:r>
              <w:rPr>
                <w:rFonts w:hint="default" w:ascii="Times New Roman" w:hAnsi="Times New Roman" w:eastAsia="仿宋_GB2312" w:cs="Times New Roman"/>
                <w:snapToGrid/>
                <w:color w:val="000000"/>
                <w:spacing w:val="-2"/>
                <w:kern w:val="0"/>
                <w:sz w:val="24"/>
                <w:szCs w:val="24"/>
                <w:lang w:val="en-US" w:eastAsia="zh-CN" w:bidi="ar"/>
              </w:rPr>
              <w:t>8890-5977B</w:t>
            </w:r>
          </w:p>
        </w:tc>
        <w:tc>
          <w:tcPr>
            <w:tcW w:w="750" w:type="dxa"/>
            <w:vAlign w:val="top"/>
          </w:tcPr>
          <w:p>
            <w:pPr>
              <w:keepNext w:val="0"/>
              <w:keepLines w:val="0"/>
              <w:widowControl/>
              <w:suppressLineNumbers w:val="0"/>
              <w:kinsoku w:val="0"/>
              <w:autoSpaceDE w:val="0"/>
              <w:autoSpaceDN w:val="0"/>
              <w:adjustRightInd w:val="0"/>
              <w:snapToGrid w:val="0"/>
              <w:spacing w:before="0" w:beforeAutospacing="0" w:after="0" w:afterAutospacing="0" w:line="415" w:lineRule="auto"/>
              <w:ind w:left="0" w:right="0"/>
              <w:jc w:val="left"/>
              <w:textAlignment w:val="baseline"/>
              <w:rPr>
                <w:rFonts w:hint="default" w:ascii="Times New Roman" w:hAnsi="Times New Roman" w:eastAsia="仿宋_GB2312" w:cs="Arial"/>
                <w:color w:val="000000"/>
                <w:kern w:val="0"/>
                <w:sz w:val="21"/>
                <w:szCs w:val="21"/>
              </w:rPr>
            </w:pPr>
          </w:p>
          <w:p>
            <w:pPr>
              <w:keepNext w:val="0"/>
              <w:keepLines w:val="0"/>
              <w:widowControl/>
              <w:suppressLineNumbers w:val="0"/>
              <w:kinsoku w:val="0"/>
              <w:autoSpaceDE w:val="0"/>
              <w:autoSpaceDN w:val="0"/>
              <w:adjustRightInd w:val="0"/>
              <w:snapToGrid w:val="0"/>
              <w:spacing w:before="69" w:beforeAutospacing="0" w:after="0" w:afterAutospacing="0"/>
              <w:ind w:left="378"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1</w:t>
            </w:r>
          </w:p>
        </w:tc>
        <w:tc>
          <w:tcPr>
            <w:tcW w:w="1583"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3</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6" w:beforeAutospacing="0" w:after="0" w:afterAutospacing="0"/>
              <w:ind w:left="252"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3"/>
                <w:kern w:val="0"/>
                <w:sz w:val="24"/>
                <w:szCs w:val="24"/>
                <w:lang w:val="en-US" w:eastAsia="zh-CN" w:bidi="ar"/>
              </w:rPr>
              <w:t>多光谱食品安全检测仪</w:t>
            </w:r>
          </w:p>
        </w:tc>
        <w:tc>
          <w:tcPr>
            <w:tcW w:w="1963" w:type="dxa"/>
            <w:gridSpan w:val="2"/>
            <w:vAlign w:val="top"/>
          </w:tcPr>
          <w:p>
            <w:pPr>
              <w:keepNext w:val="0"/>
              <w:keepLines w:val="0"/>
              <w:widowControl/>
              <w:suppressLineNumbers w:val="0"/>
              <w:kinsoku w:val="0"/>
              <w:autoSpaceDE w:val="0"/>
              <w:autoSpaceDN w:val="0"/>
              <w:adjustRightInd w:val="0"/>
              <w:snapToGrid w:val="0"/>
              <w:spacing w:before="236" w:beforeAutospacing="0" w:after="0" w:afterAutospacing="0"/>
              <w:ind w:left="478" w:leftChars="0" w:right="0" w:rightChars="0"/>
              <w:jc w:val="center"/>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LDN-200Q</w:t>
            </w:r>
          </w:p>
        </w:tc>
        <w:tc>
          <w:tcPr>
            <w:tcW w:w="750" w:type="dxa"/>
            <w:vAlign w:val="top"/>
          </w:tcPr>
          <w:p>
            <w:pPr>
              <w:keepNext w:val="0"/>
              <w:keepLines w:val="0"/>
              <w:widowControl/>
              <w:suppressLineNumbers w:val="0"/>
              <w:kinsoku w:val="0"/>
              <w:autoSpaceDE w:val="0"/>
              <w:autoSpaceDN w:val="0"/>
              <w:adjustRightInd w:val="0"/>
              <w:snapToGrid w:val="0"/>
              <w:spacing w:before="241" w:beforeAutospacing="0" w:after="0" w:afterAutospacing="0"/>
              <w:ind w:left="354"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4</w:t>
            </w:r>
          </w:p>
        </w:tc>
        <w:tc>
          <w:tcPr>
            <w:tcW w:w="1583"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4</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7" w:beforeAutospacing="0" w:after="0" w:afterAutospacing="0"/>
              <w:ind w:left="846"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4"/>
                <w:kern w:val="0"/>
                <w:sz w:val="24"/>
                <w:szCs w:val="24"/>
                <w:lang w:val="en-US" w:eastAsia="zh-CN" w:bidi="ar"/>
              </w:rPr>
              <w:t>高压均质机</w:t>
            </w:r>
          </w:p>
        </w:tc>
        <w:tc>
          <w:tcPr>
            <w:tcW w:w="1963" w:type="dxa"/>
            <w:gridSpan w:val="2"/>
            <w:vAlign w:val="top"/>
          </w:tcPr>
          <w:p>
            <w:pPr>
              <w:keepNext w:val="0"/>
              <w:keepLines w:val="0"/>
              <w:widowControl/>
              <w:suppressLineNumbers w:val="0"/>
              <w:kinsoku w:val="0"/>
              <w:autoSpaceDE w:val="0"/>
              <w:autoSpaceDN w:val="0"/>
              <w:adjustRightInd w:val="0"/>
              <w:snapToGrid w:val="0"/>
              <w:spacing w:before="241" w:beforeAutospacing="0" w:after="0" w:afterAutospacing="0"/>
              <w:ind w:left="770" w:leftChars="0" w:right="0" w:rightChars="0"/>
              <w:jc w:val="both"/>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D-6L</w:t>
            </w:r>
          </w:p>
        </w:tc>
        <w:tc>
          <w:tcPr>
            <w:tcW w:w="750" w:type="dxa"/>
            <w:vAlign w:val="top"/>
          </w:tcPr>
          <w:p>
            <w:pPr>
              <w:keepNext w:val="0"/>
              <w:keepLines w:val="0"/>
              <w:widowControl/>
              <w:suppressLineNumbers w:val="0"/>
              <w:kinsoku w:val="0"/>
              <w:autoSpaceDE w:val="0"/>
              <w:autoSpaceDN w:val="0"/>
              <w:adjustRightInd w:val="0"/>
              <w:snapToGrid w:val="0"/>
              <w:spacing w:before="242" w:beforeAutospacing="0" w:after="0" w:afterAutospacing="0"/>
              <w:ind w:left="378"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1</w:t>
            </w:r>
          </w:p>
        </w:tc>
        <w:tc>
          <w:tcPr>
            <w:tcW w:w="1583"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5</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9" w:beforeAutospacing="0" w:after="0" w:afterAutospacing="0"/>
              <w:ind w:left="838"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3"/>
                <w:kern w:val="0"/>
                <w:sz w:val="24"/>
                <w:szCs w:val="24"/>
                <w:lang w:val="en-US" w:eastAsia="zh-CN" w:bidi="ar"/>
              </w:rPr>
              <w:t>旋转蒸发器</w:t>
            </w:r>
          </w:p>
        </w:tc>
        <w:tc>
          <w:tcPr>
            <w:tcW w:w="1963" w:type="dxa"/>
            <w:gridSpan w:val="2"/>
            <w:vAlign w:val="top"/>
          </w:tcPr>
          <w:p>
            <w:pPr>
              <w:keepNext w:val="0"/>
              <w:keepLines w:val="0"/>
              <w:widowControl/>
              <w:suppressLineNumbers w:val="0"/>
              <w:kinsoku w:val="0"/>
              <w:autoSpaceDE w:val="0"/>
              <w:autoSpaceDN w:val="0"/>
              <w:adjustRightInd w:val="0"/>
              <w:snapToGrid w:val="0"/>
              <w:spacing w:before="243" w:beforeAutospacing="0" w:after="0" w:afterAutospacing="0"/>
              <w:ind w:left="511" w:leftChars="0" w:right="0" w:rightChars="0"/>
              <w:jc w:val="center"/>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RE-6000A</w:t>
            </w:r>
          </w:p>
        </w:tc>
        <w:tc>
          <w:tcPr>
            <w:tcW w:w="750" w:type="dxa"/>
            <w:vAlign w:val="top"/>
          </w:tcPr>
          <w:p>
            <w:pPr>
              <w:keepNext w:val="0"/>
              <w:keepLines w:val="0"/>
              <w:widowControl/>
              <w:suppressLineNumbers w:val="0"/>
              <w:kinsoku w:val="0"/>
              <w:autoSpaceDE w:val="0"/>
              <w:autoSpaceDN w:val="0"/>
              <w:adjustRightInd w:val="0"/>
              <w:snapToGrid w:val="0"/>
              <w:spacing w:before="243" w:beforeAutospacing="0" w:after="0" w:afterAutospacing="0"/>
              <w:ind w:left="354"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4</w:t>
            </w:r>
          </w:p>
        </w:tc>
        <w:tc>
          <w:tcPr>
            <w:tcW w:w="1583"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61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6</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9" w:beforeAutospacing="0" w:after="0" w:afterAutospacing="0"/>
              <w:ind w:left="846"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4"/>
                <w:kern w:val="0"/>
                <w:sz w:val="24"/>
                <w:szCs w:val="24"/>
                <w:lang w:val="en-US" w:eastAsia="zh-CN" w:bidi="ar"/>
              </w:rPr>
              <w:t>高压灭菌器</w:t>
            </w:r>
          </w:p>
        </w:tc>
        <w:tc>
          <w:tcPr>
            <w:tcW w:w="1963" w:type="dxa"/>
            <w:gridSpan w:val="2"/>
            <w:vAlign w:val="top"/>
          </w:tcPr>
          <w:p>
            <w:pPr>
              <w:keepNext w:val="0"/>
              <w:keepLines w:val="0"/>
              <w:widowControl/>
              <w:suppressLineNumbers w:val="0"/>
              <w:kinsoku w:val="0"/>
              <w:autoSpaceDE w:val="0"/>
              <w:autoSpaceDN w:val="0"/>
              <w:adjustRightInd w:val="0"/>
              <w:snapToGrid w:val="0"/>
              <w:spacing w:before="243" w:beforeAutospacing="0" w:after="0" w:afterAutospacing="0"/>
              <w:ind w:left="575" w:leftChars="0" w:right="0" w:rightChars="0"/>
              <w:jc w:val="center"/>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2"/>
                <w:kern w:val="0"/>
                <w:sz w:val="24"/>
                <w:szCs w:val="24"/>
                <w:lang w:val="en-US" w:eastAsia="zh-CN" w:bidi="ar"/>
              </w:rPr>
              <w:t>GR85DA</w:t>
            </w:r>
          </w:p>
        </w:tc>
        <w:tc>
          <w:tcPr>
            <w:tcW w:w="750" w:type="dxa"/>
            <w:vAlign w:val="top"/>
          </w:tcPr>
          <w:p>
            <w:pPr>
              <w:keepNext w:val="0"/>
              <w:keepLines w:val="0"/>
              <w:widowControl/>
              <w:suppressLineNumbers w:val="0"/>
              <w:kinsoku w:val="0"/>
              <w:autoSpaceDE w:val="0"/>
              <w:autoSpaceDN w:val="0"/>
              <w:adjustRightInd w:val="0"/>
              <w:snapToGrid w:val="0"/>
              <w:spacing w:before="243" w:beforeAutospacing="0" w:after="0" w:afterAutospacing="0"/>
              <w:ind w:left="355"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2</w:t>
            </w:r>
          </w:p>
        </w:tc>
        <w:tc>
          <w:tcPr>
            <w:tcW w:w="1583"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615"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7</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9" w:beforeAutospacing="0" w:after="0" w:afterAutospacing="0" w:line="501" w:lineRule="exact"/>
              <w:ind w:left="122" w:right="0"/>
              <w:jc w:val="center"/>
              <w:textAlignment w:val="baseline"/>
              <w:rPr>
                <w:rFonts w:hint="eastAsia" w:ascii="Times New Roman" w:hAnsi="Times New Roman" w:eastAsia="仿宋_GB2312" w:cs="仿宋"/>
                <w:color w:val="000000"/>
                <w:kern w:val="0"/>
                <w:sz w:val="24"/>
                <w:szCs w:val="24"/>
              </w:rPr>
            </w:pPr>
            <w:r>
              <w:rPr>
                <w:rFonts w:hint="eastAsia" w:ascii="Times New Roman" w:hAnsi="Times New Roman" w:eastAsia="仿宋_GB2312" w:cs="仿宋"/>
                <w:snapToGrid/>
                <w:color w:val="000000"/>
                <w:spacing w:val="-2"/>
                <w:kern w:val="0"/>
                <w:position w:val="20"/>
                <w:sz w:val="24"/>
                <w:szCs w:val="24"/>
                <w:lang w:val="en-US" w:eastAsia="zh-CN" w:bidi="ar"/>
              </w:rPr>
              <w:t>一体化直接加压超高压处</w:t>
            </w:r>
          </w:p>
          <w:p>
            <w:pPr>
              <w:pStyle w:val="5"/>
              <w:keepNext w:val="0"/>
              <w:keepLines w:val="0"/>
              <w:widowControl/>
              <w:suppressLineNumbers w:val="0"/>
              <w:kinsoku w:val="0"/>
              <w:autoSpaceDE w:val="0"/>
              <w:autoSpaceDN w:val="0"/>
              <w:adjustRightInd w:val="0"/>
              <w:snapToGrid w:val="0"/>
              <w:spacing w:before="0" w:beforeAutospacing="0" w:after="0" w:afterAutospacing="0"/>
              <w:ind w:left="1080"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4"/>
                <w:kern w:val="0"/>
                <w:sz w:val="24"/>
                <w:szCs w:val="24"/>
                <w:lang w:val="en-US" w:eastAsia="zh-CN" w:bidi="ar"/>
              </w:rPr>
              <w:t>理设备</w:t>
            </w:r>
          </w:p>
        </w:tc>
        <w:tc>
          <w:tcPr>
            <w:tcW w:w="1963" w:type="dxa"/>
            <w:gridSpan w:val="2"/>
            <w:vAlign w:val="top"/>
          </w:tcPr>
          <w:p>
            <w:pPr>
              <w:keepNext w:val="0"/>
              <w:keepLines w:val="0"/>
              <w:widowControl/>
              <w:suppressLineNumbers w:val="0"/>
              <w:kinsoku w:val="0"/>
              <w:autoSpaceDE w:val="0"/>
              <w:autoSpaceDN w:val="0"/>
              <w:adjustRightInd w:val="0"/>
              <w:snapToGrid w:val="0"/>
              <w:spacing w:before="0" w:beforeAutospacing="0" w:after="0" w:afterAutospacing="0" w:line="417" w:lineRule="auto"/>
              <w:ind w:left="0" w:right="0"/>
              <w:jc w:val="center"/>
              <w:textAlignment w:val="baseline"/>
              <w:rPr>
                <w:rFonts w:hint="default" w:ascii="Times New Roman" w:hAnsi="Times New Roman" w:eastAsia="仿宋_GB2312" w:cs="Arial"/>
                <w:color w:val="000000"/>
                <w:kern w:val="0"/>
                <w:sz w:val="21"/>
                <w:szCs w:val="21"/>
              </w:rPr>
            </w:pPr>
          </w:p>
          <w:p>
            <w:pPr>
              <w:keepNext w:val="0"/>
              <w:keepLines w:val="0"/>
              <w:widowControl/>
              <w:suppressLineNumbers w:val="0"/>
              <w:kinsoku w:val="0"/>
              <w:autoSpaceDE w:val="0"/>
              <w:autoSpaceDN w:val="0"/>
              <w:adjustRightInd w:val="0"/>
              <w:snapToGrid w:val="0"/>
              <w:spacing w:before="69" w:beforeAutospacing="0" w:after="0" w:afterAutospacing="0"/>
              <w:ind w:left="333" w:leftChars="0" w:right="0" w:rightChars="0"/>
              <w:jc w:val="center"/>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HPP.L1-600/5</w:t>
            </w:r>
          </w:p>
        </w:tc>
        <w:tc>
          <w:tcPr>
            <w:tcW w:w="750" w:type="dxa"/>
            <w:vAlign w:val="top"/>
          </w:tcPr>
          <w:p>
            <w:pPr>
              <w:keepNext w:val="0"/>
              <w:keepLines w:val="0"/>
              <w:widowControl/>
              <w:suppressLineNumbers w:val="0"/>
              <w:kinsoku w:val="0"/>
              <w:autoSpaceDE w:val="0"/>
              <w:autoSpaceDN w:val="0"/>
              <w:adjustRightInd w:val="0"/>
              <w:snapToGrid w:val="0"/>
              <w:spacing w:before="0" w:beforeAutospacing="0" w:after="0" w:afterAutospacing="0" w:line="422" w:lineRule="auto"/>
              <w:ind w:left="0" w:right="0"/>
              <w:jc w:val="left"/>
              <w:textAlignment w:val="baseline"/>
              <w:rPr>
                <w:rFonts w:hint="default" w:ascii="Times New Roman" w:hAnsi="Times New Roman" w:eastAsia="仿宋_GB2312" w:cs="Arial"/>
                <w:color w:val="000000"/>
                <w:kern w:val="0"/>
                <w:sz w:val="21"/>
                <w:szCs w:val="21"/>
              </w:rPr>
            </w:pPr>
          </w:p>
          <w:p>
            <w:pPr>
              <w:keepNext w:val="0"/>
              <w:keepLines w:val="0"/>
              <w:widowControl/>
              <w:suppressLineNumbers w:val="0"/>
              <w:kinsoku w:val="0"/>
              <w:autoSpaceDE w:val="0"/>
              <w:autoSpaceDN w:val="0"/>
              <w:adjustRightInd w:val="0"/>
              <w:snapToGrid w:val="0"/>
              <w:spacing w:before="69" w:beforeAutospacing="0" w:after="0" w:afterAutospacing="0"/>
              <w:ind w:left="378"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1</w:t>
            </w:r>
          </w:p>
        </w:tc>
        <w:tc>
          <w:tcPr>
            <w:tcW w:w="1583" w:type="dxa"/>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0" w:type="auto"/>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8</w:t>
            </w:r>
          </w:p>
        </w:tc>
        <w:tc>
          <w:tcPr>
            <w:tcW w:w="4068" w:type="dxa"/>
            <w:gridSpan w:val="5"/>
            <w:vAlign w:val="top"/>
          </w:tcPr>
          <w:p>
            <w:pPr>
              <w:pStyle w:val="5"/>
              <w:keepNext w:val="0"/>
              <w:keepLines w:val="0"/>
              <w:widowControl/>
              <w:suppressLineNumbers w:val="0"/>
              <w:kinsoku w:val="0"/>
              <w:autoSpaceDE w:val="0"/>
              <w:autoSpaceDN w:val="0"/>
              <w:adjustRightInd w:val="0"/>
              <w:snapToGrid w:val="0"/>
              <w:spacing w:before="197" w:beforeAutospacing="0" w:after="0" w:afterAutospacing="0"/>
              <w:ind w:left="364"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3"/>
                <w:kern w:val="0"/>
                <w:sz w:val="24"/>
                <w:szCs w:val="24"/>
                <w:lang w:val="en-US" w:eastAsia="zh-CN" w:bidi="ar"/>
              </w:rPr>
              <w:t>全自动蛋白纯化系统</w:t>
            </w:r>
          </w:p>
        </w:tc>
        <w:tc>
          <w:tcPr>
            <w:tcW w:w="0" w:type="auto"/>
            <w:gridSpan w:val="2"/>
            <w:vAlign w:val="top"/>
          </w:tcPr>
          <w:p>
            <w:pPr>
              <w:keepNext w:val="0"/>
              <w:keepLines w:val="0"/>
              <w:widowControl/>
              <w:suppressLineNumbers w:val="0"/>
              <w:kinsoku w:val="0"/>
              <w:autoSpaceDE w:val="0"/>
              <w:autoSpaceDN w:val="0"/>
              <w:adjustRightInd w:val="0"/>
              <w:snapToGrid w:val="0"/>
              <w:spacing w:before="237" w:beforeAutospacing="0" w:after="0" w:afterAutospacing="0"/>
              <w:ind w:left="525" w:leftChars="0" w:right="0" w:rightChars="0"/>
              <w:jc w:val="center"/>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akta prime</w:t>
            </w:r>
          </w:p>
        </w:tc>
        <w:tc>
          <w:tcPr>
            <w:tcW w:w="0" w:type="auto"/>
            <w:vAlign w:val="top"/>
          </w:tcPr>
          <w:p>
            <w:pPr>
              <w:keepNext w:val="0"/>
              <w:keepLines w:val="0"/>
              <w:widowControl/>
              <w:suppressLineNumbers w:val="0"/>
              <w:kinsoku w:val="0"/>
              <w:autoSpaceDE w:val="0"/>
              <w:autoSpaceDN w:val="0"/>
              <w:adjustRightInd w:val="0"/>
              <w:snapToGrid w:val="0"/>
              <w:spacing w:before="241" w:beforeAutospacing="0" w:after="0" w:afterAutospacing="0"/>
              <w:ind w:left="378"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kern w:val="0"/>
                <w:sz w:val="24"/>
                <w:szCs w:val="24"/>
                <w:lang w:val="en-US" w:eastAsia="zh-CN" w:bidi="ar"/>
              </w:rPr>
              <w:t>1</w:t>
            </w:r>
          </w:p>
        </w:tc>
        <w:tc>
          <w:tcPr>
            <w:tcW w:w="0" w:type="auto"/>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0" w:type="auto"/>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9</w:t>
            </w:r>
          </w:p>
        </w:tc>
        <w:tc>
          <w:tcPr>
            <w:tcW w:w="0" w:type="auto"/>
            <w:gridSpan w:val="5"/>
            <w:vAlign w:val="top"/>
          </w:tcPr>
          <w:p>
            <w:pPr>
              <w:pStyle w:val="5"/>
              <w:keepNext w:val="0"/>
              <w:keepLines w:val="0"/>
              <w:widowControl/>
              <w:suppressLineNumbers w:val="0"/>
              <w:kinsoku w:val="0"/>
              <w:autoSpaceDE w:val="0"/>
              <w:autoSpaceDN w:val="0"/>
              <w:adjustRightInd w:val="0"/>
              <w:snapToGrid w:val="0"/>
              <w:spacing w:before="200" w:beforeAutospacing="0" w:after="0" w:afterAutospacing="0"/>
              <w:ind w:left="484" w:leftChars="0" w:right="0" w:rightChars="0"/>
              <w:jc w:val="center"/>
              <w:textAlignment w:val="baseline"/>
              <w:rPr>
                <w:rFonts w:hint="eastAsia" w:ascii="Times New Roman" w:hAnsi="Times New Roman" w:eastAsia="仿宋_GB2312" w:cs="仿宋"/>
                <w:color w:val="000000"/>
                <w:kern w:val="0"/>
                <w:sz w:val="24"/>
                <w:szCs w:val="24"/>
                <w:lang w:val="en-US" w:eastAsia="en-US" w:bidi="ar-SA"/>
              </w:rPr>
            </w:pPr>
            <w:r>
              <w:rPr>
                <w:rFonts w:hint="eastAsia" w:ascii="Times New Roman" w:hAnsi="Times New Roman" w:eastAsia="仿宋_GB2312" w:cs="仿宋"/>
                <w:snapToGrid/>
                <w:color w:val="000000"/>
                <w:spacing w:val="-3"/>
                <w:kern w:val="0"/>
                <w:sz w:val="24"/>
                <w:szCs w:val="24"/>
                <w:lang w:val="en-US" w:eastAsia="zh-CN" w:bidi="ar"/>
              </w:rPr>
              <w:t>全能型成像分析仪</w:t>
            </w:r>
          </w:p>
        </w:tc>
        <w:tc>
          <w:tcPr>
            <w:tcW w:w="0" w:type="auto"/>
            <w:gridSpan w:val="2"/>
            <w:vAlign w:val="top"/>
          </w:tcPr>
          <w:p>
            <w:pPr>
              <w:keepNext w:val="0"/>
              <w:keepLines w:val="0"/>
              <w:widowControl/>
              <w:suppressLineNumbers w:val="0"/>
              <w:kinsoku w:val="0"/>
              <w:autoSpaceDE w:val="0"/>
              <w:autoSpaceDN w:val="0"/>
              <w:adjustRightInd w:val="0"/>
              <w:snapToGrid w:val="0"/>
              <w:spacing w:before="238" w:beforeAutospacing="0" w:after="0" w:afterAutospacing="0"/>
              <w:ind w:left="311" w:leftChars="0" w:right="0" w:rightChars="0"/>
              <w:jc w:val="center"/>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1"/>
                <w:kern w:val="0"/>
                <w:sz w:val="24"/>
                <w:szCs w:val="24"/>
                <w:lang w:val="en-US" w:eastAsia="zh-CN" w:bidi="ar"/>
              </w:rPr>
              <w:t>ChemiDoc MP</w:t>
            </w:r>
          </w:p>
        </w:tc>
        <w:tc>
          <w:tcPr>
            <w:tcW w:w="0" w:type="auto"/>
            <w:vAlign w:val="top"/>
          </w:tcPr>
          <w:p>
            <w:pPr>
              <w:keepNext w:val="0"/>
              <w:keepLines w:val="0"/>
              <w:widowControl/>
              <w:suppressLineNumbers w:val="0"/>
              <w:kinsoku w:val="0"/>
              <w:autoSpaceDE w:val="0"/>
              <w:autoSpaceDN w:val="0"/>
              <w:adjustRightInd w:val="0"/>
              <w:snapToGrid w:val="0"/>
              <w:spacing w:before="243" w:beforeAutospacing="0" w:after="0" w:afterAutospacing="0"/>
              <w:ind w:left="300" w:leftChars="0" w:right="0" w:rightChars="0"/>
              <w:jc w:val="left"/>
              <w:textAlignment w:val="baseline"/>
              <w:rPr>
                <w:rFonts w:hint="eastAsia" w:ascii="Times New Roman" w:hAnsi="Times New Roman" w:eastAsia="仿宋_GB2312" w:cs="Times New Roman"/>
                <w:color w:val="000000"/>
                <w:kern w:val="0"/>
                <w:sz w:val="24"/>
                <w:szCs w:val="24"/>
                <w:lang w:val="en-US" w:eastAsia="en-US" w:bidi="ar-SA"/>
              </w:rPr>
            </w:pPr>
            <w:r>
              <w:rPr>
                <w:rFonts w:hint="default" w:ascii="Times New Roman" w:hAnsi="Times New Roman" w:eastAsia="仿宋_GB2312" w:cs="Times New Roman"/>
                <w:snapToGrid/>
                <w:color w:val="000000"/>
                <w:spacing w:val="-3"/>
                <w:kern w:val="0"/>
                <w:sz w:val="24"/>
                <w:szCs w:val="24"/>
                <w:lang w:val="en-US" w:eastAsia="zh-CN" w:bidi="ar"/>
              </w:rPr>
              <w:t>30</w:t>
            </w:r>
          </w:p>
        </w:tc>
        <w:tc>
          <w:tcPr>
            <w:tcW w:w="0" w:type="auto"/>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jc w:val="center"/>
        </w:trPr>
        <w:tc>
          <w:tcPr>
            <w:tcW w:w="0" w:type="auto"/>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10</w:t>
            </w:r>
          </w:p>
        </w:tc>
        <w:tc>
          <w:tcPr>
            <w:tcW w:w="0" w:type="auto"/>
            <w:gridSpan w:val="5"/>
            <w:vAlign w:val="top"/>
          </w:tcPr>
          <w:p>
            <w:pPr>
              <w:pStyle w:val="5"/>
              <w:keepNext w:val="0"/>
              <w:keepLines w:val="0"/>
              <w:widowControl/>
              <w:suppressLineNumbers w:val="0"/>
              <w:kinsoku w:val="0"/>
              <w:autoSpaceDE w:val="0"/>
              <w:autoSpaceDN w:val="0"/>
              <w:adjustRightInd w:val="0"/>
              <w:snapToGrid w:val="0"/>
              <w:spacing w:before="194" w:beforeAutospacing="0" w:after="0" w:afterAutospacing="0"/>
              <w:ind w:left="244" w:leftChars="0" w:right="0" w:rightChars="0"/>
              <w:jc w:val="center"/>
              <w:textAlignment w:val="baseline"/>
              <w:rPr>
                <w:rFonts w:hint="eastAsia" w:ascii="Times New Roman" w:hAnsi="Times New Roman" w:eastAsia="仿宋_GB2312" w:cs="仿宋"/>
                <w:color w:val="000000"/>
                <w:kern w:val="0"/>
                <w:sz w:val="24"/>
                <w:szCs w:val="24"/>
                <w:lang w:val="en-US" w:eastAsia="zh-CN" w:bidi="ar-SA"/>
              </w:rPr>
            </w:pPr>
            <w:r>
              <w:rPr>
                <w:rFonts w:hint="eastAsia" w:ascii="Times New Roman" w:hAnsi="Times New Roman" w:eastAsia="仿宋_GB2312" w:cs="仿宋"/>
                <w:snapToGrid/>
                <w:color w:val="000000"/>
                <w:spacing w:val="-2"/>
                <w:kern w:val="0"/>
                <w:sz w:val="24"/>
                <w:szCs w:val="24"/>
                <w:lang w:val="en-US" w:eastAsia="zh-CN" w:bidi="ar"/>
              </w:rPr>
              <w:t>全自动农药残留检测仪</w:t>
            </w:r>
          </w:p>
        </w:tc>
        <w:tc>
          <w:tcPr>
            <w:tcW w:w="0" w:type="auto"/>
            <w:gridSpan w:val="2"/>
            <w:vAlign w:val="top"/>
          </w:tcPr>
          <w:p>
            <w:pPr>
              <w:keepNext w:val="0"/>
              <w:keepLines w:val="0"/>
              <w:widowControl/>
              <w:suppressLineNumbers w:val="0"/>
              <w:kinsoku w:val="0"/>
              <w:autoSpaceDE w:val="0"/>
              <w:autoSpaceDN w:val="0"/>
              <w:adjustRightInd w:val="0"/>
              <w:snapToGrid w:val="0"/>
              <w:spacing w:before="234" w:beforeAutospacing="0" w:after="0" w:afterAutospacing="0"/>
              <w:ind w:left="538" w:leftChars="0" w:right="0" w:rightChars="0"/>
              <w:jc w:val="center"/>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spacing w:val="-1"/>
                <w:kern w:val="0"/>
                <w:sz w:val="24"/>
                <w:szCs w:val="24"/>
                <w:lang w:val="en-US" w:eastAsia="zh-CN" w:bidi="ar"/>
              </w:rPr>
              <w:t>LDN-Q16</w:t>
            </w:r>
          </w:p>
        </w:tc>
        <w:tc>
          <w:tcPr>
            <w:tcW w:w="0" w:type="auto"/>
            <w:vAlign w:val="top"/>
          </w:tcPr>
          <w:p>
            <w:pPr>
              <w:keepNext w:val="0"/>
              <w:keepLines w:val="0"/>
              <w:widowControl/>
              <w:suppressLineNumbers w:val="0"/>
              <w:kinsoku w:val="0"/>
              <w:autoSpaceDE w:val="0"/>
              <w:autoSpaceDN w:val="0"/>
              <w:adjustRightInd w:val="0"/>
              <w:snapToGrid w:val="0"/>
              <w:spacing w:before="238" w:beforeAutospacing="0" w:after="0" w:afterAutospacing="0"/>
              <w:ind w:left="360" w:leftChars="0" w:right="0" w:rightChars="0"/>
              <w:jc w:val="left"/>
              <w:textAlignment w:val="baseline"/>
              <w:rPr>
                <w:rFonts w:hint="default" w:ascii="Times New Roman" w:hAnsi="Times New Roman" w:eastAsia="仿宋_GB2312" w:cs="Times New Roman"/>
                <w:color w:val="000000"/>
                <w:kern w:val="0"/>
                <w:sz w:val="24"/>
                <w:szCs w:val="24"/>
                <w:lang w:val="en-US" w:eastAsia="zh-CN" w:bidi="ar-SA"/>
              </w:rPr>
            </w:pPr>
            <w:r>
              <w:rPr>
                <w:rFonts w:hint="default" w:ascii="Times New Roman" w:hAnsi="Times New Roman" w:eastAsia="仿宋_GB2312" w:cs="Times New Roman"/>
                <w:snapToGrid/>
                <w:color w:val="000000"/>
                <w:kern w:val="0"/>
                <w:sz w:val="24"/>
                <w:szCs w:val="24"/>
                <w:lang w:val="en-US" w:eastAsia="zh-CN" w:bidi="ar"/>
              </w:rPr>
              <w:t>3</w:t>
            </w:r>
          </w:p>
        </w:tc>
        <w:tc>
          <w:tcPr>
            <w:tcW w:w="0" w:type="auto"/>
            <w:gridSpan w:val="3"/>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eastAsia="仿宋_GB2312"/>
                <w:lang w:val="en-US" w:eastAsia="zh-CN"/>
              </w:rPr>
              <w:t>2016</w:t>
            </w:r>
          </w:p>
        </w:tc>
      </w:tr>
    </w:tbl>
    <w:p>
      <w:pPr>
        <w:ind w:firstLine="470" w:firstLineChars="196"/>
        <w:rPr>
          <w:rFonts w:eastAsia="仿宋_GB2312"/>
          <w:sz w:val="24"/>
        </w:rPr>
      </w:pPr>
      <w:r>
        <w:rPr>
          <w:rFonts w:eastAsia="仿宋_GB2312"/>
          <w:sz w:val="24"/>
        </w:rPr>
        <w:t>注：若为医学类专业应附医疗仪器设备清单。</w:t>
      </w: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6"/>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281" w:firstLineChars="100"/>
              <w:rPr>
                <w:rFonts w:hint="default" w:ascii="Times New Roman" w:hAnsi="Times New Roman" w:eastAsia="仿宋_GB2312"/>
                <w:b/>
                <w:sz w:val="28"/>
                <w:szCs w:val="28"/>
              </w:rPr>
            </w:pPr>
            <w:r>
              <w:rPr>
                <w:rFonts w:hint="default" w:ascii="Times New Roman" w:hAnsi="Times New Roman"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序  号</w:t>
            </w:r>
          </w:p>
        </w:tc>
        <w:tc>
          <w:tcPr>
            <w:tcW w:w="159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代 码</w:t>
            </w:r>
          </w:p>
        </w:tc>
        <w:tc>
          <w:tcPr>
            <w:tcW w:w="1399" w:type="dxa"/>
            <w:tcBorders>
              <w:bottom w:val="single" w:color="auto" w:sz="4" w:space="0"/>
            </w:tcBorders>
            <w:vAlign w:val="center"/>
          </w:tcPr>
          <w:p>
            <w:pPr>
              <w:keepNext w:val="0"/>
              <w:keepLines w:val="0"/>
              <w:suppressLineNumbers w:val="0"/>
              <w:spacing w:before="0" w:beforeAutospacing="0" w:after="0" w:afterAutospacing="0"/>
              <w:ind w:left="210" w:right="0" w:hanging="210" w:hangingChars="100"/>
              <w:jc w:val="center"/>
              <w:rPr>
                <w:rFonts w:hint="default" w:ascii="Times New Roman" w:hAnsi="Times New Roman" w:eastAsia="仿宋_GB2312"/>
                <w:szCs w:val="21"/>
              </w:rPr>
            </w:pPr>
            <w:r>
              <w:rPr>
                <w:rFonts w:hint="default" w:ascii="Times New Roman" w:hAnsi="Times New Roman" w:eastAsia="仿宋_GB2312"/>
                <w:szCs w:val="21"/>
              </w:rPr>
              <w:t>本/专科</w:t>
            </w:r>
          </w:p>
        </w:tc>
        <w:tc>
          <w:tcPr>
            <w:tcW w:w="306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名   称</w:t>
            </w:r>
          </w:p>
        </w:tc>
        <w:tc>
          <w:tcPr>
            <w:tcW w:w="1958"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1</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2</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3</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4</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5</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6</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7</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8</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9</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Borders>
        <w:top w:val="none" w:sz="0" w:space="0"/>
        <w:left w:val="none" w:sz="0" w:space="0"/>
        <w:bottom w:val="none" w:sz="0" w:space="0"/>
        <w:right w:val="none" w:sz="0" w:space="0"/>
      </w:pgBorders>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hint="eastAsia"/>
        <w:sz w:val="28"/>
        <w:szCs w:val="28"/>
      </w:rPr>
    </w:pPr>
    <w:r>
      <w:rPr>
        <w:rStyle w:val="10"/>
        <w:rFonts w:hint="eastAsia"/>
        <w:sz w:val="28"/>
        <w:szCs w:val="28"/>
      </w:rPr>
      <w:t xml:space="preserve">— </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OGJhZDVlZjlkY2E2YTM3ZGNiYTU1YmRmODQwNTQifQ=="/>
  </w:docVars>
  <w:rsids>
    <w:rsidRoot w:val="00172A27"/>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364B9"/>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56D9F"/>
    <w:rsid w:val="00C639DD"/>
    <w:rsid w:val="00C721EB"/>
    <w:rsid w:val="00C754D4"/>
    <w:rsid w:val="00C86E0F"/>
    <w:rsid w:val="00CB6C35"/>
    <w:rsid w:val="00CE5713"/>
    <w:rsid w:val="00CE7E4F"/>
    <w:rsid w:val="00D33CF3"/>
    <w:rsid w:val="00D716A5"/>
    <w:rsid w:val="00D91EDB"/>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1110236"/>
    <w:rsid w:val="013178AD"/>
    <w:rsid w:val="02943493"/>
    <w:rsid w:val="04990F17"/>
    <w:rsid w:val="05B13426"/>
    <w:rsid w:val="063E0A32"/>
    <w:rsid w:val="075A7AEE"/>
    <w:rsid w:val="08420CAE"/>
    <w:rsid w:val="09022721"/>
    <w:rsid w:val="090C6113"/>
    <w:rsid w:val="09787614"/>
    <w:rsid w:val="0A79472F"/>
    <w:rsid w:val="0B0D4741"/>
    <w:rsid w:val="0C6F12A2"/>
    <w:rsid w:val="0DCE10B8"/>
    <w:rsid w:val="0E912047"/>
    <w:rsid w:val="0FC06194"/>
    <w:rsid w:val="0FD22917"/>
    <w:rsid w:val="109B2747"/>
    <w:rsid w:val="10A342B4"/>
    <w:rsid w:val="11A7392F"/>
    <w:rsid w:val="13392CAD"/>
    <w:rsid w:val="14650C32"/>
    <w:rsid w:val="14A8633C"/>
    <w:rsid w:val="15EC4007"/>
    <w:rsid w:val="1621428A"/>
    <w:rsid w:val="167A44FD"/>
    <w:rsid w:val="168F52BF"/>
    <w:rsid w:val="18D737AC"/>
    <w:rsid w:val="1A240213"/>
    <w:rsid w:val="1B1F6C2C"/>
    <w:rsid w:val="1BA80798"/>
    <w:rsid w:val="1C4E77C9"/>
    <w:rsid w:val="1C68483E"/>
    <w:rsid w:val="1CFC1179"/>
    <w:rsid w:val="1D214EDE"/>
    <w:rsid w:val="1DCA10D2"/>
    <w:rsid w:val="1EE93DB3"/>
    <w:rsid w:val="200F101E"/>
    <w:rsid w:val="210D2467"/>
    <w:rsid w:val="21A954A2"/>
    <w:rsid w:val="21E604A4"/>
    <w:rsid w:val="21EB1616"/>
    <w:rsid w:val="22ED6685"/>
    <w:rsid w:val="232D483B"/>
    <w:rsid w:val="23623E18"/>
    <w:rsid w:val="24206C0E"/>
    <w:rsid w:val="24E03534"/>
    <w:rsid w:val="25010BDC"/>
    <w:rsid w:val="25BD776E"/>
    <w:rsid w:val="260A23B5"/>
    <w:rsid w:val="27A72484"/>
    <w:rsid w:val="28213FE4"/>
    <w:rsid w:val="28FD67FF"/>
    <w:rsid w:val="29713DAB"/>
    <w:rsid w:val="297262D8"/>
    <w:rsid w:val="2A7A3E7F"/>
    <w:rsid w:val="2A8940C2"/>
    <w:rsid w:val="2B2A1401"/>
    <w:rsid w:val="2DD33A51"/>
    <w:rsid w:val="2DDE76C9"/>
    <w:rsid w:val="2E2A34C6"/>
    <w:rsid w:val="2E3F6BD1"/>
    <w:rsid w:val="2F994DA8"/>
    <w:rsid w:val="2F9E68AA"/>
    <w:rsid w:val="30E958BB"/>
    <w:rsid w:val="315C7E3B"/>
    <w:rsid w:val="319E48F7"/>
    <w:rsid w:val="348C6C89"/>
    <w:rsid w:val="35EF127D"/>
    <w:rsid w:val="361E1B63"/>
    <w:rsid w:val="3790083E"/>
    <w:rsid w:val="38E04B61"/>
    <w:rsid w:val="3965705C"/>
    <w:rsid w:val="396F26D5"/>
    <w:rsid w:val="3A1F0E9F"/>
    <w:rsid w:val="3B4F0A10"/>
    <w:rsid w:val="3BA42B0A"/>
    <w:rsid w:val="3BDE4CDA"/>
    <w:rsid w:val="3F7B0026"/>
    <w:rsid w:val="40AE7F87"/>
    <w:rsid w:val="40E97F0A"/>
    <w:rsid w:val="41322966"/>
    <w:rsid w:val="419265E9"/>
    <w:rsid w:val="41B81C8A"/>
    <w:rsid w:val="43AD32A5"/>
    <w:rsid w:val="44296A81"/>
    <w:rsid w:val="447C0917"/>
    <w:rsid w:val="44801C3A"/>
    <w:rsid w:val="449135E5"/>
    <w:rsid w:val="45800144"/>
    <w:rsid w:val="4645313C"/>
    <w:rsid w:val="47076C5A"/>
    <w:rsid w:val="47BE6D02"/>
    <w:rsid w:val="481515FE"/>
    <w:rsid w:val="48A44149"/>
    <w:rsid w:val="4AF12DA6"/>
    <w:rsid w:val="4B436DAB"/>
    <w:rsid w:val="4CA435C9"/>
    <w:rsid w:val="50681F00"/>
    <w:rsid w:val="50AA42C7"/>
    <w:rsid w:val="50D327EC"/>
    <w:rsid w:val="51025EB1"/>
    <w:rsid w:val="51210684"/>
    <w:rsid w:val="5176064D"/>
    <w:rsid w:val="51E44EA9"/>
    <w:rsid w:val="523522B6"/>
    <w:rsid w:val="534641A2"/>
    <w:rsid w:val="541952B6"/>
    <w:rsid w:val="54A45839"/>
    <w:rsid w:val="54CF254E"/>
    <w:rsid w:val="574014E1"/>
    <w:rsid w:val="57AF6667"/>
    <w:rsid w:val="58247185"/>
    <w:rsid w:val="58310482"/>
    <w:rsid w:val="583628E4"/>
    <w:rsid w:val="597436C4"/>
    <w:rsid w:val="5D537A94"/>
    <w:rsid w:val="5E0C4D05"/>
    <w:rsid w:val="5E6F6B50"/>
    <w:rsid w:val="5F584886"/>
    <w:rsid w:val="5FB32A6C"/>
    <w:rsid w:val="601654D5"/>
    <w:rsid w:val="60B151FE"/>
    <w:rsid w:val="60BD6710"/>
    <w:rsid w:val="61932B55"/>
    <w:rsid w:val="61E17D65"/>
    <w:rsid w:val="644A7E43"/>
    <w:rsid w:val="65921AA2"/>
    <w:rsid w:val="665054B9"/>
    <w:rsid w:val="66AA6977"/>
    <w:rsid w:val="66B45A48"/>
    <w:rsid w:val="674212A6"/>
    <w:rsid w:val="678043D3"/>
    <w:rsid w:val="68F91E38"/>
    <w:rsid w:val="6930431B"/>
    <w:rsid w:val="6A372C18"/>
    <w:rsid w:val="6B50449F"/>
    <w:rsid w:val="6BF11A29"/>
    <w:rsid w:val="6BF3491C"/>
    <w:rsid w:val="6CD52274"/>
    <w:rsid w:val="6D1A7447"/>
    <w:rsid w:val="6FF869A5"/>
    <w:rsid w:val="700E441B"/>
    <w:rsid w:val="70F52EE5"/>
    <w:rsid w:val="70FA04FB"/>
    <w:rsid w:val="714D3C2B"/>
    <w:rsid w:val="73F906E4"/>
    <w:rsid w:val="744A3547"/>
    <w:rsid w:val="75295853"/>
    <w:rsid w:val="76051E1C"/>
    <w:rsid w:val="7770132E"/>
    <w:rsid w:val="78263FA6"/>
    <w:rsid w:val="784529A4"/>
    <w:rsid w:val="78C207E1"/>
    <w:rsid w:val="78DB5BA4"/>
    <w:rsid w:val="7A37456E"/>
    <w:rsid w:val="7AF67F85"/>
    <w:rsid w:val="7B4010B8"/>
    <w:rsid w:val="7C694787"/>
    <w:rsid w:val="7CF020AD"/>
    <w:rsid w:val="7D276D38"/>
    <w:rsid w:val="7D5754FE"/>
    <w:rsid w:val="7EC04F6E"/>
    <w:rsid w:val="7F313C82"/>
    <w:rsid w:val="7F7E679B"/>
    <w:rsid w:val="7FF946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unhideWhenUsed/>
    <w:qFormat/>
    <w:uiPriority w:val="1"/>
    <w:pPr>
      <w:autoSpaceDE w:val="0"/>
      <w:autoSpaceDN w:val="0"/>
      <w:spacing w:beforeLines="0" w:afterLines="0"/>
      <w:jc w:val="left"/>
    </w:pPr>
    <w:rPr>
      <w:rFonts w:hint="eastAsia" w:ascii="黑体" w:hAnsi="黑体" w:eastAsia="黑体" w:cs="黑体"/>
      <w:kern w:val="0"/>
      <w:sz w:val="36"/>
      <w:szCs w:val="36"/>
      <w:lang w:val="zh-CN" w:bidi="zh-CN"/>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qFormat/>
    <w:uiPriority w:val="0"/>
  </w:style>
  <w:style w:type="paragraph" w:customStyle="1" w:styleId="11">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2">
    <w:name w:val="页眉 Char"/>
    <w:basedOn w:val="8"/>
    <w:link w:val="4"/>
    <w:qFormat/>
    <w:uiPriority w:val="99"/>
    <w:rPr>
      <w:rFonts w:ascii="Times New Roman" w:hAnsi="Times New Roman" w:eastAsia="宋体" w:cs="Times New Roman"/>
      <w:sz w:val="18"/>
      <w:szCs w:val="18"/>
    </w:rPr>
  </w:style>
  <w:style w:type="character" w:customStyle="1" w:styleId="13">
    <w:name w:val="页脚 Char"/>
    <w:basedOn w:val="8"/>
    <w:link w:val="3"/>
    <w:qFormat/>
    <w:uiPriority w:val="99"/>
    <w:rPr>
      <w:rFonts w:ascii="Times New Roman" w:hAnsi="Times New Roman" w:eastAsia="宋体" w:cs="Times New Roman"/>
      <w:sz w:val="18"/>
      <w:szCs w:val="18"/>
    </w:rPr>
  </w:style>
  <w:style w:type="table" w:customStyle="1" w:styleId="14">
    <w:name w:val="Table Normal"/>
    <w:basedOn w:val="6"/>
    <w:qFormat/>
    <w:uiPriority w:val="0"/>
    <w:pPr>
      <w:keepNext w:val="0"/>
      <w:keepLines w:val="0"/>
      <w:widowControl w:val="0"/>
      <w:suppressLineNumbers w:val="0"/>
      <w:autoSpaceDE w:val="0"/>
      <w:autoSpaceDN w:val="0"/>
      <w:spacing w:before="0" w:beforeAutospacing="0" w:after="0" w:afterAutospacing="0"/>
      <w:ind w:left="0" w:right="0"/>
    </w:pPr>
    <w:rPr>
      <w:rFonts w:hint="default" w:ascii="Times New Roman" w:hAnsi="Times New Roman" w:cs="Times New Roman"/>
      <w:sz w:val="22"/>
      <w:szCs w:val="22"/>
      <w:lang w:eastAsia="en-US"/>
    </w:rPr>
    <w:tblPr>
      <w:tblCellMar>
        <w:top w:w="0" w:type="dxa"/>
        <w:left w:w="0" w:type="dxa"/>
        <w:bottom w:w="0" w:type="dxa"/>
        <w:right w:w="0" w:type="dxa"/>
      </w:tblCellMar>
    </w:tblPr>
  </w:style>
  <w:style w:type="paragraph" w:customStyle="1" w:styleId="15">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 w:type="paragraph" w:styleId="16">
    <w:name w:val="List Paragraph"/>
    <w:basedOn w:val="1"/>
    <w:unhideWhenUsed/>
    <w:qFormat/>
    <w:uiPriority w:val="1"/>
    <w:pPr>
      <w:autoSpaceDE w:val="0"/>
      <w:autoSpaceDN w:val="0"/>
      <w:spacing w:before="20" w:beforeLines="0" w:afterLines="0"/>
      <w:ind w:left="713" w:hanging="496"/>
      <w:jc w:val="left"/>
    </w:pPr>
    <w:rPr>
      <w:rFonts w:hint="eastAsia" w:ascii="宋体" w:hAnsi="宋体" w:cs="宋体"/>
      <w:kern w:val="0"/>
      <w:sz w:val="22"/>
      <w:szCs w:val="20"/>
      <w:lang w:val="zh-CN" w:bidi="zh-CN"/>
    </w:rPr>
  </w:style>
  <w:style w:type="character" w:customStyle="1" w:styleId="17">
    <w:name w:val="15"/>
    <w:basedOn w:val="8"/>
    <w:qFormat/>
    <w:uiPriority w:val="0"/>
    <w:rPr>
      <w:rFonts w:hint="default" w:ascii="Times New Roman" w:hAnsi="Times New Roman" w:cs="Times New Roman"/>
    </w:rPr>
  </w:style>
  <w:style w:type="character" w:customStyle="1" w:styleId="18">
    <w:name w:val="10"/>
    <w:basedOn w:val="8"/>
    <w:qFormat/>
    <w:uiPriority w:val="0"/>
    <w:rPr>
      <w:rFonts w:hint="default" w:ascii="Times New Roman" w:hAnsi="Times New Roman" w:cs="Times New Roman"/>
    </w:rPr>
  </w:style>
  <w:style w:type="paragraph" w:customStyle="1" w:styleId="19">
    <w:name w:val="Table Text"/>
    <w:semiHidden/>
    <w:qFormat/>
    <w:uiPriority w:val="0"/>
    <w:pPr>
      <w:kinsoku w:val="0"/>
      <w:autoSpaceDE w:val="0"/>
      <w:autoSpaceDN w:val="0"/>
      <w:adjustRightInd w:val="0"/>
      <w:snapToGrid w:val="0"/>
      <w:spacing w:line="240" w:lineRule="auto"/>
      <w:jc w:val="left"/>
      <w:textAlignment w:val="baseline"/>
    </w:pPr>
    <w:rPr>
      <w:rFonts w:ascii="Times New Roman" w:hAnsi="Times New Roman" w:eastAsia="Times New Roman" w:cs="Times New Roman"/>
      <w:snapToGrid w:val="0"/>
      <w:color w:val="000000"/>
      <w:kern w:val="0"/>
      <w:sz w:val="20"/>
      <w:szCs w:val="20"/>
      <w:lang w:val="en-US" w:eastAsia="en-US" w:bidi="ar-SA"/>
    </w:rPr>
  </w:style>
  <w:style w:type="character" w:customStyle="1" w:styleId="20">
    <w:name w:val="16"/>
    <w:basedOn w:val="8"/>
    <w:qFormat/>
    <w:uiPriority w:val="0"/>
    <w:rPr>
      <w:rFonts w:hint="eastAsia" w:ascii="宋体" w:hAnsi="宋体" w:eastAsia="宋体" w:cs="宋体"/>
      <w:color w:val="000000"/>
      <w:sz w:val="16"/>
      <w:szCs w:val="16"/>
    </w:rPr>
  </w:style>
  <w:style w:type="paragraph" w:customStyle="1" w:styleId="21">
    <w:name w:val="this"/>
    <w:basedOn w:val="1"/>
    <w:qFormat/>
    <w:uiPriority w:val="0"/>
    <w:pPr>
      <w:spacing w:line="360" w:lineRule="auto"/>
      <w:ind w:firstLine="960" w:firstLineChars="200"/>
      <w:jc w:val="both"/>
    </w:pPr>
    <w:rPr>
      <w:rFonts w:hint="eastAsia" w:eastAsia="仿宋_GB2312" w:cs="Times New Roman"/>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22</Pages>
  <Words>10718</Words>
  <Characters>11545</Characters>
  <Lines>1</Lines>
  <Paragraphs>1</Paragraphs>
  <TotalTime>5</TotalTime>
  <ScaleCrop>false</ScaleCrop>
  <LinksUpToDate>false</LinksUpToDate>
  <CharactersWithSpaces>12021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heartbeats</cp:lastModifiedBy>
  <dcterms:modified xsi:type="dcterms:W3CDTF">2023-08-25T05:42:32Z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652176A7B189417C9D861D8EA48DC178_12</vt:lpwstr>
  </property>
</Properties>
</file>